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odttf" ContentType="application/vnd.openxmlformats-officedocument.obfuscatedFont"/>
  <Override PartName="/word/webSettings.xml" ContentType="application/vnd.openxmlformats-officedocument.wordprocessingml.webSetting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styles.xml" ContentType="application/vnd.openxmlformats-officedocument.wordprocessingml.styles+xml"/>
  <Override PartName="/word/document.xml" ContentType="application/vnd.openxmlformats-officedocument.wordprocessingml.document.main+xml"/>
  <Override PartName="/word/comments.xml" ContentType="application/vnd.openxmlformats-officedocument.wordprocessingml.comments+xml"/>
  <Override PartName="/word/footnotes.xml" ContentType="application/vnd.openxmlformats-officedocument.wordprocessingml.footnotes+xml"/>
</Types>
</file>

<file path=_rels/.rels><?xml version="1.0" encoding="UTF-8"?><Relationships xmlns="http://schemas.openxmlformats.org/package/2006/relationships"><Relationship Id="rId1" Type="http://schemas.openxmlformats.org/officeDocument/2006/relationships/officeDocument" Target="word/document.xml" /><Relationship Id="rId4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5" Type="http://schemas.openxmlformats.org/officeDocument/2006/relationships/custom-properties" Target="docProps/custom.xml" /></Relationships>
</file>

<file path=word/document.xml><?xml version="1.0" encoding="utf-8"?>
<w:document xmlns:w="http://schemas.openxmlformats.org/wordprocessingml/2006/main" xmlns:m="http://schemas.openxmlformats.org/officeDocument/2006/math" xmlns:r="http://schemas.openxmlformats.org/officeDocument/2006/relationships" xmlns:o="urn:schemas-microsoft-com:office:office" xmlns:v="urn:schemas-microsoft-com:vml" xmlns:w10="urn:schemas-microsoft-com:office:word" xmlns:a="http://schemas.openxmlformats.org/drawingml/2006/main" xmlns:pic="http://schemas.openxmlformats.org/drawingml/2006/picture" xmlns:wp="http://schemas.openxmlformats.org/drawingml/2006/wordprocessingDrawing">
  <w:body>
    <w:bookmarkStart w:id="43" w:name="axiom-analysis"/>
    <w:p>
      <w:pPr>
        <w:pStyle w:val="Heading1"/>
      </w:pPr>
      <w:r>
        <w:t xml:space="preserve">AXIOM Analysis</w:t>
      </w:r>
    </w:p>
    <w:bookmarkStart w:id="9" w:name="investment-analysis-intake-template"/>
    <w:p>
      <w:pPr>
        <w:pStyle w:val="Heading2"/>
      </w:pPr>
      <w:r>
        <w:t xml:space="preserve">Investment Analysis Intake Template</w:t>
      </w:r>
    </w:p>
    <w:p>
      <w:pPr>
        <w:pStyle w:val="FirstParagraph"/>
      </w:pPr>
      <w:r>
        <w:t xml:space="preserve">Version 1.0 | April 12, 2026</w:t>
      </w:r>
      <w:r>
        <w:br/>
      </w:r>
      <w:r>
        <w:t xml:space="preserve">Working template for structured investment runs in the AXIOM portal.</w:t>
      </w:r>
    </w:p>
    <w:p>
      <w:r>
        <w:pict>
          <v:rect style="width:0;height:1.5pt" o:hralign="center" o:hrstd="t" o:hr="t"/>
        </w:pict>
      </w:r>
    </w:p>
    <w:bookmarkEnd w:id="9"/>
    <w:bookmarkStart w:id="10" w:name="purpose"/>
    <w:p>
      <w:pPr>
        <w:pStyle w:val="Heading2"/>
      </w:pPr>
      <w:r>
        <w:t xml:space="preserve">Purpose</w:t>
      </w:r>
    </w:p>
    <w:p>
      <w:pPr>
        <w:pStyle w:val="FirstParagraph"/>
      </w:pPr>
      <w:r>
        <w:t xml:space="preserve">Use this template to prepare an investment analysis run in AXIOM.</w:t>
      </w:r>
    </w:p>
    <w:p>
      <w:pPr>
        <w:pStyle w:val="BodyText"/>
      </w:pPr>
      <w:r>
        <w:t xml:space="preserve">It is designed for:</w:t>
      </w:r>
    </w:p>
    <w:p>
      <w:pPr>
        <w:pStyle w:val="Compact"/>
        <w:numPr>
          <w:ilvl w:val="0"/>
          <w:numId w:val="1001"/>
        </w:numPr>
      </w:pPr>
      <w:r>
        <w:t xml:space="preserve">investment thesis review</w:t>
      </w:r>
    </w:p>
    <w:p>
      <w:pPr>
        <w:pStyle w:val="Compact"/>
        <w:numPr>
          <w:ilvl w:val="0"/>
          <w:numId w:val="1001"/>
        </w:numPr>
      </w:pPr>
      <w:r>
        <w:t xml:space="preserve">downside and fragility mapping</w:t>
      </w:r>
    </w:p>
    <w:p>
      <w:pPr>
        <w:pStyle w:val="Compact"/>
        <w:numPr>
          <w:ilvl w:val="0"/>
          <w:numId w:val="1001"/>
        </w:numPr>
      </w:pPr>
      <w:r>
        <w:t xml:space="preserve">scenario sensitivity review</w:t>
      </w:r>
    </w:p>
    <w:p>
      <w:pPr>
        <w:pStyle w:val="Compact"/>
        <w:numPr>
          <w:ilvl w:val="0"/>
          <w:numId w:val="1001"/>
        </w:numPr>
      </w:pPr>
      <w:r>
        <w:t xml:space="preserve">diligence support</w:t>
      </w:r>
    </w:p>
    <w:p>
      <w:pPr>
        <w:pStyle w:val="Compact"/>
        <w:numPr>
          <w:ilvl w:val="0"/>
          <w:numId w:val="1001"/>
        </w:numPr>
      </w:pPr>
      <w:r>
        <w:t xml:space="preserve">rapid first-pass investment scans</w:t>
      </w:r>
    </w:p>
    <w:p>
      <w:pPr>
        <w:pStyle w:val="FirstParagraph"/>
      </w:pPr>
      <w:r>
        <w:t xml:space="preserve">This is a structured analysis intake, not investment advice, not a forecast engine, and not a substitute for legal or financial diligence.</w:t>
      </w:r>
    </w:p>
    <w:p>
      <w:r>
        <w:pict>
          <v:rect style="width:0;height:1.5pt" o:hralign="center" o:hrstd="t" o:hr="t"/>
        </w:pict>
      </w:r>
    </w:p>
    <w:bookmarkEnd w:id="10"/>
    <w:bookmarkStart w:id="15" w:name="best-axiom-settings"/>
    <w:p>
      <w:pPr>
        <w:pStyle w:val="Heading2"/>
      </w:pPr>
      <w:r>
        <w:t xml:space="preserve">Best AXIOM Settings</w:t>
      </w:r>
    </w:p>
    <w:bookmarkStart w:id="11" w:name="full-thesis-review"/>
    <w:p>
      <w:pPr>
        <w:pStyle w:val="Heading3"/>
      </w:pPr>
      <w:r>
        <w:t xml:space="preserve">Full Thesis Review</w:t>
      </w:r>
    </w:p>
    <w:p>
      <w:pPr>
        <w:pStyle w:val="Compact"/>
        <w:numPr>
          <w:ilvl w:val="0"/>
          <w:numId w:val="1002"/>
        </w:numPr>
      </w:pPr>
      <w:r>
        <w:t xml:space="preserve">Domain:</w:t>
      </w:r>
      <w:r>
        <w:t xml:space="preserve"> </w:t>
      </w:r>
      <w:r>
        <w:rPr>
          <w:rStyle w:val="VerbatimChar"/>
        </w:rPr>
        <w:t xml:space="preserve">Investment</w:t>
      </w:r>
    </w:p>
    <w:p>
      <w:pPr>
        <w:pStyle w:val="Compact"/>
        <w:numPr>
          <w:ilvl w:val="0"/>
          <w:numId w:val="1002"/>
        </w:numPr>
      </w:pPr>
      <w:r>
        <w:t xml:space="preserve">Modules:</w:t>
      </w:r>
      <w:r>
        <w:t xml:space="preserve"> </w:t>
      </w:r>
      <w:r>
        <w:rPr>
          <w:rStyle w:val="VerbatimChar"/>
        </w:rPr>
        <w:t xml:space="preserve">thesis</w:t>
      </w:r>
    </w:p>
    <w:p>
      <w:pPr>
        <w:pStyle w:val="Compact"/>
        <w:numPr>
          <w:ilvl w:val="0"/>
          <w:numId w:val="1002"/>
        </w:numPr>
      </w:pPr>
      <w:r>
        <w:t xml:space="preserve">Report Depth:</w:t>
      </w:r>
      <w:r>
        <w:t xml:space="preserve"> </w:t>
      </w:r>
      <w:r>
        <w:rPr>
          <w:rStyle w:val="VerbatimChar"/>
        </w:rPr>
        <w:t xml:space="preserve">Standard</w:t>
      </w:r>
    </w:p>
    <w:p>
      <w:pPr>
        <w:pStyle w:val="Compact"/>
        <w:numPr>
          <w:ilvl w:val="0"/>
          <w:numId w:val="1002"/>
        </w:numPr>
      </w:pPr>
      <w:r>
        <w:t xml:space="preserve">Reasoning Engine:</w:t>
      </w:r>
      <w:r>
        <w:t xml:space="preserve"> </w:t>
      </w:r>
      <w:r>
        <w:rPr>
          <w:rStyle w:val="VerbatimChar"/>
        </w:rPr>
        <w:t xml:space="preserve">AXIOM Gateway</w:t>
      </w:r>
      <w:r>
        <w:t xml:space="preserve"> </w:t>
      </w:r>
      <w:r>
        <w:t xml:space="preserve">or</w:t>
      </w:r>
      <w:r>
        <w:t xml:space="preserve"> </w:t>
      </w:r>
      <w:r>
        <w:rPr>
          <w:rStyle w:val="VerbatimChar"/>
        </w:rPr>
        <w:t xml:space="preserve">Auto</w:t>
      </w:r>
    </w:p>
    <w:p>
      <w:pPr>
        <w:pStyle w:val="Compact"/>
        <w:numPr>
          <w:ilvl w:val="0"/>
          <w:numId w:val="1002"/>
        </w:numPr>
      </w:pPr>
      <w:r>
        <w:t xml:space="preserve">Live sources:</w:t>
      </w:r>
      <w:r>
        <w:t xml:space="preserve"> </w:t>
      </w:r>
      <w:r>
        <w:rPr>
          <w:rStyle w:val="VerbatimChar"/>
        </w:rPr>
        <w:t xml:space="preserve">off</w:t>
      </w:r>
      <w:r>
        <w:t xml:space="preserve"> </w:t>
      </w:r>
      <w:r>
        <w:t xml:space="preserve">if you already uploaded the core material,</w:t>
      </w:r>
      <w:r>
        <w:t xml:space="preserve"> </w:t>
      </w:r>
      <w:r>
        <w:rPr>
          <w:rStyle w:val="VerbatimChar"/>
        </w:rPr>
        <w:t xml:space="preserve">on</w:t>
      </w:r>
      <w:r>
        <w:t xml:space="preserve"> </w:t>
      </w:r>
      <w:r>
        <w:t xml:space="preserve">if you want external market context checked</w:t>
      </w:r>
    </w:p>
    <w:p>
      <w:pPr>
        <w:pStyle w:val="FirstParagraph"/>
      </w:pPr>
      <w:r>
        <w:t xml:space="preserve">Use this when the main goal is to examine:</w:t>
      </w:r>
    </w:p>
    <w:p>
      <w:pPr>
        <w:pStyle w:val="Compact"/>
        <w:numPr>
          <w:ilvl w:val="0"/>
          <w:numId w:val="1003"/>
        </w:numPr>
      </w:pPr>
      <w:r>
        <w:t xml:space="preserve">thesis structure</w:t>
      </w:r>
    </w:p>
    <w:p>
      <w:pPr>
        <w:pStyle w:val="Compact"/>
        <w:numPr>
          <w:ilvl w:val="0"/>
          <w:numId w:val="1003"/>
        </w:numPr>
      </w:pPr>
      <w:r>
        <w:t xml:space="preserve">assumptions</w:t>
      </w:r>
    </w:p>
    <w:p>
      <w:pPr>
        <w:pStyle w:val="Compact"/>
        <w:numPr>
          <w:ilvl w:val="0"/>
          <w:numId w:val="1003"/>
        </w:numPr>
      </w:pPr>
      <w:r>
        <w:t xml:space="preserve">invalidation conditions</w:t>
      </w:r>
    </w:p>
    <w:p>
      <w:pPr>
        <w:pStyle w:val="Compact"/>
        <w:numPr>
          <w:ilvl w:val="0"/>
          <w:numId w:val="1003"/>
        </w:numPr>
      </w:pPr>
      <w:r>
        <w:t xml:space="preserve">competing interpretations</w:t>
      </w:r>
    </w:p>
    <w:bookmarkEnd w:id="11"/>
    <w:bookmarkStart w:id="12" w:name="risk-stress-test"/>
    <w:p>
      <w:pPr>
        <w:pStyle w:val="Heading3"/>
      </w:pPr>
      <w:r>
        <w:t xml:space="preserve">Risk Stress Test</w:t>
      </w:r>
    </w:p>
    <w:p>
      <w:pPr>
        <w:pStyle w:val="Compact"/>
        <w:numPr>
          <w:ilvl w:val="0"/>
          <w:numId w:val="1004"/>
        </w:numPr>
      </w:pPr>
      <w:r>
        <w:t xml:space="preserve">Domain:</w:t>
      </w:r>
      <w:r>
        <w:t xml:space="preserve"> </w:t>
      </w:r>
      <w:r>
        <w:rPr>
          <w:rStyle w:val="VerbatimChar"/>
        </w:rPr>
        <w:t xml:space="preserve">Investment</w:t>
      </w:r>
    </w:p>
    <w:p>
      <w:pPr>
        <w:pStyle w:val="Compact"/>
        <w:numPr>
          <w:ilvl w:val="0"/>
          <w:numId w:val="1004"/>
        </w:numPr>
      </w:pPr>
      <w:r>
        <w:t xml:space="preserve">Modules:</w:t>
      </w:r>
      <w:r>
        <w:t xml:space="preserve"> </w:t>
      </w:r>
      <w:r>
        <w:rPr>
          <w:rStyle w:val="VerbatimChar"/>
        </w:rPr>
        <w:t xml:space="preserve">risk</w:t>
      </w:r>
    </w:p>
    <w:p>
      <w:pPr>
        <w:pStyle w:val="Compact"/>
        <w:numPr>
          <w:ilvl w:val="0"/>
          <w:numId w:val="1004"/>
        </w:numPr>
      </w:pPr>
      <w:r>
        <w:t xml:space="preserve">Report Depth:</w:t>
      </w:r>
      <w:r>
        <w:t xml:space="preserve"> </w:t>
      </w:r>
      <w:r>
        <w:rPr>
          <w:rStyle w:val="VerbatimChar"/>
        </w:rPr>
        <w:t xml:space="preserve">Standard</w:t>
      </w:r>
    </w:p>
    <w:p>
      <w:pPr>
        <w:pStyle w:val="Compact"/>
        <w:numPr>
          <w:ilvl w:val="0"/>
          <w:numId w:val="1004"/>
        </w:numPr>
      </w:pPr>
      <w:r>
        <w:t xml:space="preserve">Reasoning Engine:</w:t>
      </w:r>
      <w:r>
        <w:t xml:space="preserve"> </w:t>
      </w:r>
      <w:r>
        <w:rPr>
          <w:rStyle w:val="VerbatimChar"/>
        </w:rPr>
        <w:t xml:space="preserve">Gemini</w:t>
      </w:r>
      <w:r>
        <w:t xml:space="preserve"> </w:t>
      </w:r>
      <w:r>
        <w:t xml:space="preserve">or</w:t>
      </w:r>
      <w:r>
        <w:t xml:space="preserve"> </w:t>
      </w:r>
      <w:r>
        <w:rPr>
          <w:rStyle w:val="VerbatimChar"/>
        </w:rPr>
        <w:t xml:space="preserve">Auto</w:t>
      </w:r>
    </w:p>
    <w:p>
      <w:pPr>
        <w:pStyle w:val="Compact"/>
        <w:numPr>
          <w:ilvl w:val="0"/>
          <w:numId w:val="1004"/>
        </w:numPr>
      </w:pPr>
      <w:r>
        <w:t xml:space="preserve">Live sources:</w:t>
      </w:r>
      <w:r>
        <w:t xml:space="preserve"> </w:t>
      </w:r>
      <w:r>
        <w:rPr>
          <w:rStyle w:val="VerbatimChar"/>
        </w:rPr>
        <w:t xml:space="preserve">on</w:t>
      </w:r>
      <w:r>
        <w:t xml:space="preserve"> </w:t>
      </w:r>
      <w:r>
        <w:t xml:space="preserve">when external market or company context matters</w:t>
      </w:r>
    </w:p>
    <w:p>
      <w:pPr>
        <w:pStyle w:val="FirstParagraph"/>
      </w:pPr>
      <w:r>
        <w:t xml:space="preserve">Use this when the main goal is to examine:</w:t>
      </w:r>
    </w:p>
    <w:p>
      <w:pPr>
        <w:pStyle w:val="Compact"/>
        <w:numPr>
          <w:ilvl w:val="0"/>
          <w:numId w:val="1005"/>
        </w:numPr>
      </w:pPr>
      <w:r>
        <w:t xml:space="preserve">downside surfaces</w:t>
      </w:r>
    </w:p>
    <w:p>
      <w:pPr>
        <w:pStyle w:val="Compact"/>
        <w:numPr>
          <w:ilvl w:val="0"/>
          <w:numId w:val="1005"/>
        </w:numPr>
      </w:pPr>
      <w:r>
        <w:t xml:space="preserve">concentration risk</w:t>
      </w:r>
    </w:p>
    <w:p>
      <w:pPr>
        <w:pStyle w:val="Compact"/>
        <w:numPr>
          <w:ilvl w:val="0"/>
          <w:numId w:val="1005"/>
        </w:numPr>
      </w:pPr>
      <w:r>
        <w:t xml:space="preserve">scenario sensitivity</w:t>
      </w:r>
    </w:p>
    <w:p>
      <w:pPr>
        <w:pStyle w:val="Compact"/>
        <w:numPr>
          <w:ilvl w:val="0"/>
          <w:numId w:val="1005"/>
        </w:numPr>
      </w:pPr>
      <w:r>
        <w:t xml:space="preserve">fragility points</w:t>
      </w:r>
    </w:p>
    <w:bookmarkEnd w:id="12"/>
    <w:bookmarkStart w:id="13" w:name="combined-diligence-view"/>
    <w:p>
      <w:pPr>
        <w:pStyle w:val="Heading3"/>
      </w:pPr>
      <w:r>
        <w:t xml:space="preserve">Combined Diligence View</w:t>
      </w:r>
    </w:p>
    <w:p>
      <w:pPr>
        <w:pStyle w:val="Compact"/>
        <w:numPr>
          <w:ilvl w:val="0"/>
          <w:numId w:val="1006"/>
        </w:numPr>
      </w:pPr>
      <w:r>
        <w:t xml:space="preserve">Domain:</w:t>
      </w:r>
      <w:r>
        <w:t xml:space="preserve"> </w:t>
      </w:r>
      <w:r>
        <w:rPr>
          <w:rStyle w:val="VerbatimChar"/>
        </w:rPr>
        <w:t xml:space="preserve">Investment</w:t>
      </w:r>
    </w:p>
    <w:p>
      <w:pPr>
        <w:pStyle w:val="Compact"/>
        <w:numPr>
          <w:ilvl w:val="0"/>
          <w:numId w:val="1006"/>
        </w:numPr>
      </w:pPr>
      <w:r>
        <w:t xml:space="preserve">Modules:</w:t>
      </w:r>
      <w:r>
        <w:t xml:space="preserve"> </w:t>
      </w:r>
      <w:r>
        <w:rPr>
          <w:rStyle w:val="VerbatimChar"/>
        </w:rPr>
        <w:t xml:space="preserve">thesis</w:t>
      </w:r>
      <w:r>
        <w:t xml:space="preserve">,</w:t>
      </w:r>
      <w:r>
        <w:t xml:space="preserve"> </w:t>
      </w:r>
      <w:r>
        <w:rPr>
          <w:rStyle w:val="VerbatimChar"/>
        </w:rPr>
        <w:t xml:space="preserve">risk</w:t>
      </w:r>
    </w:p>
    <w:p>
      <w:pPr>
        <w:pStyle w:val="Compact"/>
        <w:numPr>
          <w:ilvl w:val="0"/>
          <w:numId w:val="1006"/>
        </w:numPr>
      </w:pPr>
      <w:r>
        <w:t xml:space="preserve">Report Depth:</w:t>
      </w:r>
      <w:r>
        <w:t xml:space="preserve"> </w:t>
      </w:r>
      <w:r>
        <w:rPr>
          <w:rStyle w:val="VerbatimChar"/>
        </w:rPr>
        <w:t xml:space="preserve">Standard</w:t>
      </w:r>
      <w:r>
        <w:t xml:space="preserve"> </w:t>
      </w:r>
      <w:r>
        <w:t xml:space="preserve">first,</w:t>
      </w:r>
      <w:r>
        <w:t xml:space="preserve"> </w:t>
      </w:r>
      <w:r>
        <w:rPr>
          <w:rStyle w:val="VerbatimChar"/>
        </w:rPr>
        <w:t xml:space="preserve">Deep</w:t>
      </w:r>
      <w:r>
        <w:t xml:space="preserve"> </w:t>
      </w:r>
      <w:r>
        <w:t xml:space="preserve">second if needed</w:t>
      </w:r>
    </w:p>
    <w:p>
      <w:pPr>
        <w:pStyle w:val="Compact"/>
        <w:numPr>
          <w:ilvl w:val="0"/>
          <w:numId w:val="1006"/>
        </w:numPr>
      </w:pPr>
      <w:r>
        <w:t xml:space="preserve">Reasoning Engine:</w:t>
      </w:r>
      <w:r>
        <w:t xml:space="preserve"> </w:t>
      </w:r>
      <w:r>
        <w:rPr>
          <w:rStyle w:val="VerbatimChar"/>
        </w:rPr>
        <w:t xml:space="preserve">Gemini</w:t>
      </w:r>
      <w:r>
        <w:t xml:space="preserve"> </w:t>
      </w:r>
      <w:r>
        <w:t xml:space="preserve">or</w:t>
      </w:r>
      <w:r>
        <w:t xml:space="preserve"> </w:t>
      </w:r>
      <w:r>
        <w:rPr>
          <w:rStyle w:val="VerbatimChar"/>
        </w:rPr>
        <w:t xml:space="preserve">Auto</w:t>
      </w:r>
    </w:p>
    <w:p>
      <w:pPr>
        <w:pStyle w:val="Compact"/>
        <w:numPr>
          <w:ilvl w:val="0"/>
          <w:numId w:val="1006"/>
        </w:numPr>
      </w:pPr>
      <w:r>
        <w:t xml:space="preserve">Live sources:</w:t>
      </w:r>
      <w:r>
        <w:t xml:space="preserve"> </w:t>
      </w:r>
      <w:r>
        <w:rPr>
          <w:rStyle w:val="VerbatimChar"/>
        </w:rPr>
        <w:t xml:space="preserve">on</w:t>
      </w:r>
      <w:r>
        <w:t xml:space="preserve"> </w:t>
      </w:r>
      <w:r>
        <w:t xml:space="preserve">if you need outside context,</w:t>
      </w:r>
      <w:r>
        <w:t xml:space="preserve"> </w:t>
      </w:r>
      <w:r>
        <w:rPr>
          <w:rStyle w:val="VerbatimChar"/>
        </w:rPr>
        <w:t xml:space="preserve">off</w:t>
      </w:r>
      <w:r>
        <w:t xml:space="preserve"> </w:t>
      </w:r>
      <w:r>
        <w:t xml:space="preserve">if this is an internal memo review only</w:t>
      </w:r>
    </w:p>
    <w:p>
      <w:pPr>
        <w:pStyle w:val="FirstParagraph"/>
      </w:pPr>
      <w:r>
        <w:t xml:space="preserve">Use this when you want the broadest decision-support pass.</w:t>
      </w:r>
    </w:p>
    <w:bookmarkEnd w:id="13"/>
    <w:bookmarkStart w:id="14" w:name="quick-triage-only"/>
    <w:p>
      <w:pPr>
        <w:pStyle w:val="Heading3"/>
      </w:pPr>
      <w:r>
        <w:t xml:space="preserve">Quick Triage Only</w:t>
      </w:r>
    </w:p>
    <w:p>
      <w:pPr>
        <w:pStyle w:val="Compact"/>
        <w:numPr>
          <w:ilvl w:val="0"/>
          <w:numId w:val="1007"/>
        </w:numPr>
      </w:pPr>
      <w:r>
        <w:t xml:space="preserve">Domain:</w:t>
      </w:r>
      <w:r>
        <w:t xml:space="preserve"> </w:t>
      </w:r>
      <w:r>
        <w:rPr>
          <w:rStyle w:val="VerbatimChar"/>
        </w:rPr>
        <w:t xml:space="preserve">Investment</w:t>
      </w:r>
    </w:p>
    <w:p>
      <w:pPr>
        <w:pStyle w:val="Compact"/>
        <w:numPr>
          <w:ilvl w:val="0"/>
          <w:numId w:val="1007"/>
        </w:numPr>
      </w:pPr>
      <w:r>
        <w:t xml:space="preserve">Modules:</w:t>
      </w:r>
      <w:r>
        <w:t xml:space="preserve"> </w:t>
      </w:r>
      <w:r>
        <w:rPr>
          <w:rStyle w:val="VerbatimChar"/>
        </w:rPr>
        <w:t xml:space="preserve">fast</w:t>
      </w:r>
    </w:p>
    <w:p>
      <w:pPr>
        <w:pStyle w:val="Compact"/>
        <w:numPr>
          <w:ilvl w:val="0"/>
          <w:numId w:val="1007"/>
        </w:numPr>
      </w:pPr>
      <w:r>
        <w:t xml:space="preserve">Report Depth:</w:t>
      </w:r>
      <w:r>
        <w:t xml:space="preserve"> </w:t>
      </w:r>
      <w:r>
        <w:rPr>
          <w:rStyle w:val="VerbatimChar"/>
        </w:rPr>
        <w:t xml:space="preserve">Compact</w:t>
      </w:r>
      <w:r>
        <w:t xml:space="preserve"> </w:t>
      </w:r>
      <w:r>
        <w:t xml:space="preserve">or</w:t>
      </w:r>
      <w:r>
        <w:t xml:space="preserve"> </w:t>
      </w:r>
      <w:r>
        <w:rPr>
          <w:rStyle w:val="VerbatimChar"/>
        </w:rPr>
        <w:t xml:space="preserve">Standard</w:t>
      </w:r>
    </w:p>
    <w:p>
      <w:pPr>
        <w:pStyle w:val="Compact"/>
        <w:numPr>
          <w:ilvl w:val="0"/>
          <w:numId w:val="1007"/>
        </w:numPr>
      </w:pPr>
      <w:r>
        <w:t xml:space="preserve">Reasoning Engine:</w:t>
      </w:r>
      <w:r>
        <w:t xml:space="preserve"> </w:t>
      </w:r>
      <w:r>
        <w:rPr>
          <w:rStyle w:val="VerbatimChar"/>
        </w:rPr>
        <w:t xml:space="preserve">AXIOM Gateway</w:t>
      </w:r>
    </w:p>
    <w:p>
      <w:pPr>
        <w:pStyle w:val="Compact"/>
        <w:numPr>
          <w:ilvl w:val="0"/>
          <w:numId w:val="1007"/>
        </w:numPr>
      </w:pPr>
      <w:r>
        <w:t xml:space="preserve">Live sources:</w:t>
      </w:r>
      <w:r>
        <w:t xml:space="preserve"> </w:t>
      </w:r>
      <w:r>
        <w:rPr>
          <w:rStyle w:val="VerbatimChar"/>
        </w:rPr>
        <w:t xml:space="preserve">off</w:t>
      </w:r>
    </w:p>
    <w:p>
      <w:pPr>
        <w:pStyle w:val="FirstParagraph"/>
      </w:pPr>
      <w:r>
        <w:t xml:space="preserve">Use this only for a rapid first-pass scan, not the final review.</w:t>
      </w:r>
    </w:p>
    <w:p>
      <w:r>
        <w:pict>
          <v:rect style="width:0;height:1.5pt" o:hralign="center" o:hrstd="t" o:hr="t"/>
        </w:pict>
      </w:r>
    </w:p>
    <w:bookmarkEnd w:id="14"/>
    <w:bookmarkEnd w:id="15"/>
    <w:bookmarkStart w:id="16" w:name="important-input-note"/>
    <w:p>
      <w:pPr>
        <w:pStyle w:val="Heading2"/>
      </w:pPr>
      <w:r>
        <w:t xml:space="preserve">Important Input Note</w:t>
      </w:r>
    </w:p>
    <w:p>
      <w:pPr>
        <w:pStyle w:val="FirstParagraph"/>
      </w:pPr>
      <w:r>
        <w:t xml:space="preserve">For the cleanest current behavior:</w:t>
      </w:r>
    </w:p>
    <w:p>
      <w:pPr>
        <w:pStyle w:val="Compact"/>
        <w:numPr>
          <w:ilvl w:val="0"/>
          <w:numId w:val="1008"/>
        </w:numPr>
      </w:pPr>
      <w:r>
        <w:t xml:space="preserve">use</w:t>
      </w:r>
      <w:r>
        <w:t xml:space="preserve"> </w:t>
      </w:r>
      <w:r>
        <w:rPr>
          <w:rStyle w:val="VerbatimChar"/>
        </w:rPr>
        <w:t xml:space="preserve">.txt</w:t>
      </w:r>
      <w:r>
        <w:t xml:space="preserve"> </w:t>
      </w:r>
      <w:r>
        <w:t xml:space="preserve">or</w:t>
      </w:r>
      <w:r>
        <w:t xml:space="preserve"> </w:t>
      </w:r>
      <w:r>
        <w:rPr>
          <w:rStyle w:val="VerbatimChar"/>
        </w:rPr>
        <w:t xml:space="preserve">.md</w:t>
      </w:r>
      <w:r>
        <w:t xml:space="preserve"> </w:t>
      </w:r>
      <w:r>
        <w:t xml:space="preserve">files when possible</w:t>
      </w:r>
    </w:p>
    <w:p>
      <w:pPr>
        <w:pStyle w:val="Compact"/>
        <w:numPr>
          <w:ilvl w:val="0"/>
          <w:numId w:val="1008"/>
        </w:numPr>
      </w:pPr>
      <w:r>
        <w:t xml:space="preserve">upload the actual thesis and evidence material</w:t>
      </w:r>
    </w:p>
    <w:p>
      <w:pPr>
        <w:pStyle w:val="Compact"/>
        <w:numPr>
          <w:ilvl w:val="0"/>
          <w:numId w:val="1008"/>
        </w:numPr>
      </w:pPr>
      <w:r>
        <w:t xml:space="preserve">keep the request prompt short</w:t>
      </w:r>
    </w:p>
    <w:p>
      <w:pPr>
        <w:pStyle w:val="Compact"/>
        <w:numPr>
          <w:ilvl w:val="0"/>
          <w:numId w:val="1008"/>
        </w:numPr>
      </w:pPr>
      <w:r>
        <w:t xml:space="preserve">do not rely on one vague paragraph if you want a serious output</w:t>
      </w:r>
    </w:p>
    <w:p>
      <w:pPr>
        <w:pStyle w:val="FirstParagraph"/>
      </w:pPr>
      <w:r>
        <w:t xml:space="preserve">Best current upload shape:</w:t>
      </w:r>
    </w:p>
    <w:p>
      <w:pPr>
        <w:pStyle w:val="Compact"/>
        <w:numPr>
          <w:ilvl w:val="0"/>
          <w:numId w:val="1009"/>
        </w:numPr>
      </w:pPr>
      <w:r>
        <w:rPr>
          <w:rStyle w:val="VerbatimChar"/>
        </w:rPr>
        <w:t xml:space="preserve">01_request.md</w:t>
      </w:r>
    </w:p>
    <w:p>
      <w:pPr>
        <w:pStyle w:val="Compact"/>
        <w:numPr>
          <w:ilvl w:val="0"/>
          <w:numId w:val="1009"/>
        </w:numPr>
      </w:pPr>
      <w:r>
        <w:rPr>
          <w:rStyle w:val="VerbatimChar"/>
        </w:rPr>
        <w:t xml:space="preserve">02_asset_or_company_snapshot.md</w:t>
      </w:r>
    </w:p>
    <w:p>
      <w:pPr>
        <w:pStyle w:val="Compact"/>
        <w:numPr>
          <w:ilvl w:val="0"/>
          <w:numId w:val="1009"/>
        </w:numPr>
      </w:pPr>
      <w:r>
        <w:rPr>
          <w:rStyle w:val="VerbatimChar"/>
        </w:rPr>
        <w:t xml:space="preserve">03_thesis_and_assumptions.md</w:t>
      </w:r>
    </w:p>
    <w:p>
      <w:pPr>
        <w:pStyle w:val="Compact"/>
        <w:numPr>
          <w:ilvl w:val="0"/>
          <w:numId w:val="1009"/>
        </w:numPr>
      </w:pPr>
      <w:r>
        <w:rPr>
          <w:rStyle w:val="VerbatimChar"/>
        </w:rPr>
        <w:t xml:space="preserve">04_risk_scenarios.md</w:t>
      </w:r>
    </w:p>
    <w:p>
      <w:pPr>
        <w:pStyle w:val="Compact"/>
        <w:numPr>
          <w:ilvl w:val="0"/>
          <w:numId w:val="1009"/>
        </w:numPr>
      </w:pPr>
      <w:r>
        <w:rPr>
          <w:rStyle w:val="VerbatimChar"/>
        </w:rPr>
        <w:t xml:space="preserve">05_supporting_market_or_financial_notes.md</w:t>
      </w:r>
    </w:p>
    <w:p>
      <w:pPr>
        <w:pStyle w:val="FirstParagraph"/>
      </w:pPr>
      <w:r>
        <w:t xml:space="preserve">You do not need all five files for every run.</w:t>
      </w:r>
    </w:p>
    <w:p>
      <w:pPr>
        <w:pStyle w:val="BodyText"/>
      </w:pPr>
      <w:r>
        <w:t xml:space="preserve">For first tests, do one of these:</w:t>
      </w:r>
    </w:p>
    <w:p>
      <w:pPr>
        <w:pStyle w:val="Compact"/>
        <w:numPr>
          <w:ilvl w:val="0"/>
          <w:numId w:val="1010"/>
        </w:numPr>
      </w:pPr>
      <w:r>
        <w:t xml:space="preserve">Paste the full material directly into the request box and upload nothing.</w:t>
      </w:r>
    </w:p>
    <w:p>
      <w:pPr>
        <w:pStyle w:val="Compact"/>
        <w:numPr>
          <w:ilvl w:val="0"/>
          <w:numId w:val="1010"/>
        </w:numPr>
      </w:pPr>
      <w:r>
        <w:t xml:space="preserve">Upload the material files and use the short prompt file only.</w:t>
      </w:r>
    </w:p>
    <w:p>
      <w:pPr>
        <w:pStyle w:val="FirstParagraph"/>
      </w:pPr>
      <w:r>
        <w:t xml:space="preserve">Do not duplicate the entire same thesis in both places unless you have a reason to.</w:t>
      </w:r>
    </w:p>
    <w:p>
      <w:r>
        <w:pict>
          <v:rect style="width:0;height:1.5pt" o:hralign="center" o:hrstd="t" o:hr="t"/>
        </w:pict>
      </w:r>
    </w:p>
    <w:bookmarkEnd w:id="16"/>
    <w:bookmarkStart w:id="31" w:name="data-collection-checklist"/>
    <w:p>
      <w:pPr>
        <w:pStyle w:val="Heading2"/>
      </w:pPr>
      <w:r>
        <w:t xml:space="preserve">Data Collection Checklist</w:t>
      </w:r>
    </w:p>
    <w:p>
      <w:pPr>
        <w:pStyle w:val="FirstParagraph"/>
      </w:pPr>
      <w:r>
        <w:t xml:space="preserve">Collect as much of the following as possible before running the analysis.</w:t>
      </w:r>
    </w:p>
    <w:bookmarkStart w:id="17" w:name="run-basics"/>
    <w:p>
      <w:pPr>
        <w:pStyle w:val="Heading3"/>
      </w:pPr>
      <w:r>
        <w:t xml:space="preserve">1. Run Basics</w:t>
      </w:r>
    </w:p>
    <w:p>
      <w:pPr>
        <w:pStyle w:val="Compact"/>
        <w:numPr>
          <w:ilvl w:val="0"/>
          <w:numId w:val="1011"/>
        </w:numPr>
      </w:pPr>
      <w:r>
        <w:t xml:space="preserve">Matter / asset name:</w:t>
      </w:r>
    </w:p>
    <w:p>
      <w:pPr>
        <w:pStyle w:val="Compact"/>
        <w:numPr>
          <w:ilvl w:val="0"/>
          <w:numId w:val="1011"/>
        </w:numPr>
      </w:pPr>
      <w:r>
        <w:t xml:space="preserve">Run type:</w:t>
      </w:r>
    </w:p>
    <w:p>
      <w:pPr>
        <w:pStyle w:val="Compact"/>
        <w:numPr>
          <w:ilvl w:val="1"/>
          <w:numId w:val="1012"/>
        </w:numPr>
      </w:pPr>
      <w:r>
        <w:t xml:space="preserve">thesis review</w:t>
      </w:r>
    </w:p>
    <w:p>
      <w:pPr>
        <w:pStyle w:val="Compact"/>
        <w:numPr>
          <w:ilvl w:val="1"/>
          <w:numId w:val="1012"/>
        </w:numPr>
      </w:pPr>
      <w:r>
        <w:t xml:space="preserve">risk review</w:t>
      </w:r>
    </w:p>
    <w:p>
      <w:pPr>
        <w:pStyle w:val="Compact"/>
        <w:numPr>
          <w:ilvl w:val="1"/>
          <w:numId w:val="1012"/>
        </w:numPr>
      </w:pPr>
      <w:r>
        <w:t xml:space="preserve">combined diligence view</w:t>
      </w:r>
    </w:p>
    <w:p>
      <w:pPr>
        <w:pStyle w:val="Compact"/>
        <w:numPr>
          <w:ilvl w:val="1"/>
          <w:numId w:val="1012"/>
        </w:numPr>
      </w:pPr>
      <w:r>
        <w:t xml:space="preserve">quick scan</w:t>
      </w:r>
    </w:p>
    <w:p>
      <w:pPr>
        <w:pStyle w:val="Compact"/>
        <w:numPr>
          <w:ilvl w:val="0"/>
          <w:numId w:val="1011"/>
        </w:numPr>
      </w:pPr>
      <w:r>
        <w:t xml:space="preserve">Reviewer:</w:t>
      </w:r>
    </w:p>
    <w:p>
      <w:pPr>
        <w:pStyle w:val="Compact"/>
        <w:numPr>
          <w:ilvl w:val="0"/>
          <w:numId w:val="1011"/>
        </w:numPr>
      </w:pPr>
      <w:r>
        <w:t xml:space="preserve">Date prepared:</w:t>
      </w:r>
    </w:p>
    <w:p>
      <w:pPr>
        <w:pStyle w:val="Compact"/>
        <w:numPr>
          <w:ilvl w:val="0"/>
          <w:numId w:val="1011"/>
        </w:numPr>
      </w:pPr>
      <w:r>
        <w:t xml:space="preserve">Main decision or question:</w:t>
      </w:r>
    </w:p>
    <w:bookmarkEnd w:id="17"/>
    <w:bookmarkStart w:id="18" w:name="asset-basics"/>
    <w:p>
      <w:pPr>
        <w:pStyle w:val="Heading3"/>
      </w:pPr>
      <w:r>
        <w:t xml:space="preserve">2. Asset Basics</w:t>
      </w:r>
    </w:p>
    <w:p>
      <w:pPr>
        <w:pStyle w:val="Compact"/>
        <w:numPr>
          <w:ilvl w:val="0"/>
          <w:numId w:val="1013"/>
        </w:numPr>
      </w:pPr>
      <w:r>
        <w:t xml:space="preserve">Company / asset / project:</w:t>
      </w:r>
    </w:p>
    <w:p>
      <w:pPr>
        <w:pStyle w:val="Compact"/>
        <w:numPr>
          <w:ilvl w:val="0"/>
          <w:numId w:val="1013"/>
        </w:numPr>
      </w:pPr>
      <w:r>
        <w:t xml:space="preserve">Ticker or identifier:</w:t>
      </w:r>
    </w:p>
    <w:p>
      <w:pPr>
        <w:pStyle w:val="Compact"/>
        <w:numPr>
          <w:ilvl w:val="0"/>
          <w:numId w:val="1013"/>
        </w:numPr>
      </w:pPr>
      <w:r>
        <w:t xml:space="preserve">Geography:</w:t>
      </w:r>
    </w:p>
    <w:p>
      <w:pPr>
        <w:pStyle w:val="Compact"/>
        <w:numPr>
          <w:ilvl w:val="0"/>
          <w:numId w:val="1013"/>
        </w:numPr>
      </w:pPr>
      <w:r>
        <w:t xml:space="preserve">Sector / vertical:</w:t>
      </w:r>
    </w:p>
    <w:p>
      <w:pPr>
        <w:pStyle w:val="Compact"/>
        <w:numPr>
          <w:ilvl w:val="0"/>
          <w:numId w:val="1013"/>
        </w:numPr>
      </w:pPr>
      <w:r>
        <w:t xml:space="preserve">Stage:</w:t>
      </w:r>
    </w:p>
    <w:p>
      <w:pPr>
        <w:pStyle w:val="Compact"/>
        <w:numPr>
          <w:ilvl w:val="1"/>
          <w:numId w:val="1014"/>
        </w:numPr>
      </w:pPr>
      <w:r>
        <w:t xml:space="preserve">public company</w:t>
      </w:r>
    </w:p>
    <w:p>
      <w:pPr>
        <w:pStyle w:val="Compact"/>
        <w:numPr>
          <w:ilvl w:val="1"/>
          <w:numId w:val="1014"/>
        </w:numPr>
      </w:pPr>
      <w:r>
        <w:t xml:space="preserve">private company</w:t>
      </w:r>
    </w:p>
    <w:p>
      <w:pPr>
        <w:pStyle w:val="Compact"/>
        <w:numPr>
          <w:ilvl w:val="1"/>
          <w:numId w:val="1014"/>
        </w:numPr>
      </w:pPr>
      <w:r>
        <w:t xml:space="preserve">venture</w:t>
      </w:r>
    </w:p>
    <w:p>
      <w:pPr>
        <w:pStyle w:val="Compact"/>
        <w:numPr>
          <w:ilvl w:val="1"/>
          <w:numId w:val="1014"/>
        </w:numPr>
      </w:pPr>
      <w:r>
        <w:t xml:space="preserve">growth</w:t>
      </w:r>
    </w:p>
    <w:p>
      <w:pPr>
        <w:pStyle w:val="Compact"/>
        <w:numPr>
          <w:ilvl w:val="1"/>
          <w:numId w:val="1014"/>
        </w:numPr>
      </w:pPr>
      <w:r>
        <w:t xml:space="preserve">buyout</w:t>
      </w:r>
    </w:p>
    <w:p>
      <w:pPr>
        <w:pStyle w:val="Compact"/>
        <w:numPr>
          <w:ilvl w:val="1"/>
          <w:numId w:val="1014"/>
        </w:numPr>
      </w:pPr>
      <w:r>
        <w:t xml:space="preserve">project / asset</w:t>
      </w:r>
    </w:p>
    <w:p>
      <w:pPr>
        <w:pStyle w:val="Compact"/>
        <w:numPr>
          <w:ilvl w:val="0"/>
          <w:numId w:val="1013"/>
        </w:numPr>
      </w:pPr>
      <w:r>
        <w:t xml:space="preserve">Time horizon:</w:t>
      </w:r>
    </w:p>
    <w:p>
      <w:pPr>
        <w:pStyle w:val="Compact"/>
        <w:numPr>
          <w:ilvl w:val="0"/>
          <w:numId w:val="1013"/>
        </w:numPr>
      </w:pPr>
      <w:r>
        <w:t xml:space="preserve">Position type:</w:t>
      </w:r>
    </w:p>
    <w:p>
      <w:pPr>
        <w:pStyle w:val="Compact"/>
        <w:numPr>
          <w:ilvl w:val="1"/>
          <w:numId w:val="1015"/>
        </w:numPr>
      </w:pPr>
      <w:r>
        <w:t xml:space="preserve">long</w:t>
      </w:r>
    </w:p>
    <w:p>
      <w:pPr>
        <w:pStyle w:val="Compact"/>
        <w:numPr>
          <w:ilvl w:val="1"/>
          <w:numId w:val="1015"/>
        </w:numPr>
      </w:pPr>
      <w:r>
        <w:t xml:space="preserve">short</w:t>
      </w:r>
    </w:p>
    <w:p>
      <w:pPr>
        <w:pStyle w:val="Compact"/>
        <w:numPr>
          <w:ilvl w:val="1"/>
          <w:numId w:val="1015"/>
        </w:numPr>
      </w:pPr>
      <w:r>
        <w:t xml:space="preserve">hold</w:t>
      </w:r>
    </w:p>
    <w:p>
      <w:pPr>
        <w:pStyle w:val="Compact"/>
        <w:numPr>
          <w:ilvl w:val="1"/>
          <w:numId w:val="1015"/>
        </w:numPr>
      </w:pPr>
      <w:r>
        <w:t xml:space="preserve">diligence only</w:t>
      </w:r>
    </w:p>
    <w:bookmarkEnd w:id="18"/>
    <w:bookmarkStart w:id="19" w:name="core-thesis"/>
    <w:p>
      <w:pPr>
        <w:pStyle w:val="Heading3"/>
      </w:pPr>
      <w:r>
        <w:t xml:space="preserve">3. Core Thesis</w:t>
      </w:r>
    </w:p>
    <w:p>
      <w:pPr>
        <w:pStyle w:val="Compact"/>
        <w:numPr>
          <w:ilvl w:val="0"/>
          <w:numId w:val="1016"/>
        </w:numPr>
      </w:pPr>
      <w:r>
        <w:t xml:space="preserve">What is the central investment thesis:</w:t>
      </w:r>
    </w:p>
    <w:p>
      <w:pPr>
        <w:pStyle w:val="Compact"/>
        <w:numPr>
          <w:ilvl w:val="0"/>
          <w:numId w:val="1016"/>
        </w:numPr>
      </w:pPr>
      <w:r>
        <w:t xml:space="preserve">Why now:</w:t>
      </w:r>
    </w:p>
    <w:p>
      <w:pPr>
        <w:pStyle w:val="Compact"/>
        <w:numPr>
          <w:ilvl w:val="0"/>
          <w:numId w:val="1016"/>
        </w:numPr>
      </w:pPr>
      <w:r>
        <w:t xml:space="preserve">What do you think the market or counterpart is missing:</w:t>
      </w:r>
    </w:p>
    <w:p>
      <w:pPr>
        <w:pStyle w:val="Compact"/>
        <w:numPr>
          <w:ilvl w:val="0"/>
          <w:numId w:val="1016"/>
        </w:numPr>
      </w:pPr>
      <w:r>
        <w:t xml:space="preserve">What has to go right for this to work:</w:t>
      </w:r>
    </w:p>
    <w:p>
      <w:pPr>
        <w:pStyle w:val="Compact"/>
        <w:numPr>
          <w:ilvl w:val="0"/>
          <w:numId w:val="1016"/>
        </w:numPr>
      </w:pPr>
      <w:r>
        <w:t xml:space="preserve">What would make the thesis obviously wrong:</w:t>
      </w:r>
    </w:p>
    <w:bookmarkEnd w:id="19"/>
    <w:bookmarkStart w:id="20" w:name="assumption-stack"/>
    <w:p>
      <w:pPr>
        <w:pStyle w:val="Heading3"/>
      </w:pPr>
      <w:r>
        <w:t xml:space="preserve">4. Assumption Stack</w:t>
      </w:r>
    </w:p>
    <w:p>
      <w:pPr>
        <w:pStyle w:val="FirstParagraph"/>
      </w:pPr>
      <w:r>
        <w:t xml:space="preserve">Collect the major assumptions explicitly:</w:t>
      </w:r>
    </w:p>
    <w:p>
      <w:pPr>
        <w:pStyle w:val="Compact"/>
        <w:numPr>
          <w:ilvl w:val="0"/>
          <w:numId w:val="1017"/>
        </w:numPr>
      </w:pPr>
      <w:r>
        <w:t xml:space="preserve">growth assumptions</w:t>
      </w:r>
    </w:p>
    <w:p>
      <w:pPr>
        <w:pStyle w:val="Compact"/>
        <w:numPr>
          <w:ilvl w:val="0"/>
          <w:numId w:val="1017"/>
        </w:numPr>
      </w:pPr>
      <w:r>
        <w:t xml:space="preserve">margin assumptions</w:t>
      </w:r>
    </w:p>
    <w:p>
      <w:pPr>
        <w:pStyle w:val="Compact"/>
        <w:numPr>
          <w:ilvl w:val="0"/>
          <w:numId w:val="1017"/>
        </w:numPr>
      </w:pPr>
      <w:r>
        <w:t xml:space="preserve">pricing assumptions</w:t>
      </w:r>
    </w:p>
    <w:p>
      <w:pPr>
        <w:pStyle w:val="Compact"/>
        <w:numPr>
          <w:ilvl w:val="0"/>
          <w:numId w:val="1017"/>
        </w:numPr>
      </w:pPr>
      <w:r>
        <w:t xml:space="preserve">adoption assumptions</w:t>
      </w:r>
    </w:p>
    <w:p>
      <w:pPr>
        <w:pStyle w:val="Compact"/>
        <w:numPr>
          <w:ilvl w:val="0"/>
          <w:numId w:val="1017"/>
        </w:numPr>
      </w:pPr>
      <w:r>
        <w:t xml:space="preserve">execution assumptions</w:t>
      </w:r>
    </w:p>
    <w:p>
      <w:pPr>
        <w:pStyle w:val="Compact"/>
        <w:numPr>
          <w:ilvl w:val="0"/>
          <w:numId w:val="1017"/>
        </w:numPr>
      </w:pPr>
      <w:r>
        <w:t xml:space="preserve">regulatory assumptions</w:t>
      </w:r>
    </w:p>
    <w:p>
      <w:pPr>
        <w:pStyle w:val="Compact"/>
        <w:numPr>
          <w:ilvl w:val="0"/>
          <w:numId w:val="1017"/>
        </w:numPr>
      </w:pPr>
      <w:r>
        <w:t xml:space="preserve">financing assumptions</w:t>
      </w:r>
    </w:p>
    <w:p>
      <w:pPr>
        <w:pStyle w:val="Compact"/>
        <w:numPr>
          <w:ilvl w:val="0"/>
          <w:numId w:val="1017"/>
        </w:numPr>
      </w:pPr>
      <w:r>
        <w:t xml:space="preserve">management quality assumptions</w:t>
      </w:r>
    </w:p>
    <w:p>
      <w:pPr>
        <w:pStyle w:val="Compact"/>
        <w:numPr>
          <w:ilvl w:val="0"/>
          <w:numId w:val="1017"/>
        </w:numPr>
      </w:pPr>
      <w:r>
        <w:t xml:space="preserve">market timing assumptions</w:t>
      </w:r>
    </w:p>
    <w:bookmarkEnd w:id="20"/>
    <w:bookmarkStart w:id="21" w:name="evidence-base"/>
    <w:p>
      <w:pPr>
        <w:pStyle w:val="Heading3"/>
      </w:pPr>
      <w:r>
        <w:t xml:space="preserve">5. Evidence Base</w:t>
      </w:r>
    </w:p>
    <w:p>
      <w:pPr>
        <w:pStyle w:val="FirstParagraph"/>
      </w:pPr>
      <w:r>
        <w:t xml:space="preserve">For each important thesis point, collect:</w:t>
      </w:r>
    </w:p>
    <w:p>
      <w:pPr>
        <w:pStyle w:val="Compact"/>
        <w:numPr>
          <w:ilvl w:val="0"/>
          <w:numId w:val="1018"/>
        </w:numPr>
      </w:pPr>
      <w:r>
        <w:t xml:space="preserve">source document</w:t>
      </w:r>
    </w:p>
    <w:p>
      <w:pPr>
        <w:pStyle w:val="Compact"/>
        <w:numPr>
          <w:ilvl w:val="0"/>
          <w:numId w:val="1018"/>
        </w:numPr>
      </w:pPr>
      <w:r>
        <w:t xml:space="preserve">direct support</w:t>
      </w:r>
    </w:p>
    <w:p>
      <w:pPr>
        <w:pStyle w:val="Compact"/>
        <w:numPr>
          <w:ilvl w:val="0"/>
          <w:numId w:val="1018"/>
        </w:numPr>
      </w:pPr>
      <w:r>
        <w:t xml:space="preserve">whether the point is proven, partially supported, or inferred</w:t>
      </w:r>
    </w:p>
    <w:p>
      <w:pPr>
        <w:pStyle w:val="Compact"/>
        <w:numPr>
          <w:ilvl w:val="0"/>
          <w:numId w:val="1018"/>
        </w:numPr>
      </w:pPr>
      <w:r>
        <w:t xml:space="preserve">whether the evidence is current or stale</w:t>
      </w:r>
    </w:p>
    <w:bookmarkEnd w:id="21"/>
    <w:bookmarkStart w:id="22" w:name="business-asset-snapshot"/>
    <w:p>
      <w:pPr>
        <w:pStyle w:val="Heading3"/>
      </w:pPr>
      <w:r>
        <w:t xml:space="preserve">6. Business / Asset Snapshot</w:t>
      </w:r>
    </w:p>
    <w:p>
      <w:pPr>
        <w:pStyle w:val="FirstParagraph"/>
      </w:pPr>
      <w:r>
        <w:t xml:space="preserve">Collect:</w:t>
      </w:r>
    </w:p>
    <w:p>
      <w:pPr>
        <w:pStyle w:val="Compact"/>
        <w:numPr>
          <w:ilvl w:val="0"/>
          <w:numId w:val="1019"/>
        </w:numPr>
      </w:pPr>
      <w:r>
        <w:t xml:space="preserve">business model</w:t>
      </w:r>
    </w:p>
    <w:p>
      <w:pPr>
        <w:pStyle w:val="Compact"/>
        <w:numPr>
          <w:ilvl w:val="0"/>
          <w:numId w:val="1019"/>
        </w:numPr>
      </w:pPr>
      <w:r>
        <w:t xml:space="preserve">revenue model</w:t>
      </w:r>
    </w:p>
    <w:p>
      <w:pPr>
        <w:pStyle w:val="Compact"/>
        <w:numPr>
          <w:ilvl w:val="0"/>
          <w:numId w:val="1019"/>
        </w:numPr>
      </w:pPr>
      <w:r>
        <w:t xml:space="preserve">core product or asset description</w:t>
      </w:r>
    </w:p>
    <w:p>
      <w:pPr>
        <w:pStyle w:val="Compact"/>
        <w:numPr>
          <w:ilvl w:val="0"/>
          <w:numId w:val="1019"/>
        </w:numPr>
      </w:pPr>
      <w:r>
        <w:t xml:space="preserve">customer base</w:t>
      </w:r>
    </w:p>
    <w:p>
      <w:pPr>
        <w:pStyle w:val="Compact"/>
        <w:numPr>
          <w:ilvl w:val="0"/>
          <w:numId w:val="1019"/>
        </w:numPr>
      </w:pPr>
      <w:r>
        <w:t xml:space="preserve">market position</w:t>
      </w:r>
    </w:p>
    <w:p>
      <w:pPr>
        <w:pStyle w:val="Compact"/>
        <w:numPr>
          <w:ilvl w:val="0"/>
          <w:numId w:val="1019"/>
        </w:numPr>
      </w:pPr>
      <w:r>
        <w:t xml:space="preserve">key competitors</w:t>
      </w:r>
    </w:p>
    <w:p>
      <w:pPr>
        <w:pStyle w:val="Compact"/>
        <w:numPr>
          <w:ilvl w:val="0"/>
          <w:numId w:val="1019"/>
        </w:numPr>
      </w:pPr>
      <w:r>
        <w:t xml:space="preserve">operating leverage or dependency structure</w:t>
      </w:r>
    </w:p>
    <w:bookmarkEnd w:id="22"/>
    <w:bookmarkStart w:id="23" w:name="financial-snapshot"/>
    <w:p>
      <w:pPr>
        <w:pStyle w:val="Heading3"/>
      </w:pPr>
      <w:r>
        <w:t xml:space="preserve">7. Financial Snapshot</w:t>
      </w:r>
    </w:p>
    <w:p>
      <w:pPr>
        <w:pStyle w:val="FirstParagraph"/>
      </w:pPr>
      <w:r>
        <w:t xml:space="preserve">Collect what is available:</w:t>
      </w:r>
    </w:p>
    <w:p>
      <w:pPr>
        <w:pStyle w:val="Compact"/>
        <w:numPr>
          <w:ilvl w:val="0"/>
          <w:numId w:val="1020"/>
        </w:numPr>
      </w:pPr>
      <w:r>
        <w:t xml:space="preserve">revenue</w:t>
      </w:r>
    </w:p>
    <w:p>
      <w:pPr>
        <w:pStyle w:val="Compact"/>
        <w:numPr>
          <w:ilvl w:val="0"/>
          <w:numId w:val="1020"/>
        </w:numPr>
      </w:pPr>
      <w:r>
        <w:t xml:space="preserve">margins</w:t>
      </w:r>
    </w:p>
    <w:p>
      <w:pPr>
        <w:pStyle w:val="Compact"/>
        <w:numPr>
          <w:ilvl w:val="0"/>
          <w:numId w:val="1020"/>
        </w:numPr>
      </w:pPr>
      <w:r>
        <w:t xml:space="preserve">cash flow</w:t>
      </w:r>
    </w:p>
    <w:p>
      <w:pPr>
        <w:pStyle w:val="Compact"/>
        <w:numPr>
          <w:ilvl w:val="0"/>
          <w:numId w:val="1020"/>
        </w:numPr>
      </w:pPr>
      <w:r>
        <w:t xml:space="preserve">debt</w:t>
      </w:r>
    </w:p>
    <w:p>
      <w:pPr>
        <w:pStyle w:val="Compact"/>
        <w:numPr>
          <w:ilvl w:val="0"/>
          <w:numId w:val="1020"/>
        </w:numPr>
      </w:pPr>
      <w:r>
        <w:t xml:space="preserve">runway</w:t>
      </w:r>
    </w:p>
    <w:p>
      <w:pPr>
        <w:pStyle w:val="Compact"/>
        <w:numPr>
          <w:ilvl w:val="0"/>
          <w:numId w:val="1020"/>
        </w:numPr>
      </w:pPr>
      <w:r>
        <w:t xml:space="preserve">dilution risk</w:t>
      </w:r>
    </w:p>
    <w:p>
      <w:pPr>
        <w:pStyle w:val="Compact"/>
        <w:numPr>
          <w:ilvl w:val="0"/>
          <w:numId w:val="1020"/>
        </w:numPr>
      </w:pPr>
      <w:r>
        <w:t xml:space="preserve">capital intensity</w:t>
      </w:r>
    </w:p>
    <w:p>
      <w:pPr>
        <w:pStyle w:val="Compact"/>
        <w:numPr>
          <w:ilvl w:val="0"/>
          <w:numId w:val="1020"/>
        </w:numPr>
      </w:pPr>
      <w:r>
        <w:t xml:space="preserve">recent trends</w:t>
      </w:r>
    </w:p>
    <w:p>
      <w:pPr>
        <w:pStyle w:val="FirstParagraph"/>
      </w:pPr>
      <w:r>
        <w:t xml:space="preserve">If exact figures are not available, write what is known qualitatively.</w:t>
      </w:r>
    </w:p>
    <w:bookmarkEnd w:id="23"/>
    <w:bookmarkStart w:id="24" w:name="risk-set"/>
    <w:p>
      <w:pPr>
        <w:pStyle w:val="Heading3"/>
      </w:pPr>
      <w:r>
        <w:t xml:space="preserve">8. Risk Set</w:t>
      </w:r>
    </w:p>
    <w:p>
      <w:pPr>
        <w:pStyle w:val="FirstParagraph"/>
      </w:pPr>
      <w:r>
        <w:t xml:space="preserve">Collect the strongest known risks:</w:t>
      </w:r>
    </w:p>
    <w:p>
      <w:pPr>
        <w:pStyle w:val="Compact"/>
        <w:numPr>
          <w:ilvl w:val="0"/>
          <w:numId w:val="1021"/>
        </w:numPr>
      </w:pPr>
      <w:r>
        <w:t xml:space="preserve">concentration risk</w:t>
      </w:r>
    </w:p>
    <w:p>
      <w:pPr>
        <w:pStyle w:val="Compact"/>
        <w:numPr>
          <w:ilvl w:val="0"/>
          <w:numId w:val="1021"/>
        </w:numPr>
      </w:pPr>
      <w:r>
        <w:t xml:space="preserve">single-customer or channel risk</w:t>
      </w:r>
    </w:p>
    <w:p>
      <w:pPr>
        <w:pStyle w:val="Compact"/>
        <w:numPr>
          <w:ilvl w:val="0"/>
          <w:numId w:val="1021"/>
        </w:numPr>
      </w:pPr>
      <w:r>
        <w:t xml:space="preserve">regulatory risk</w:t>
      </w:r>
    </w:p>
    <w:p>
      <w:pPr>
        <w:pStyle w:val="Compact"/>
        <w:numPr>
          <w:ilvl w:val="0"/>
          <w:numId w:val="1021"/>
        </w:numPr>
      </w:pPr>
      <w:r>
        <w:t xml:space="preserve">product risk</w:t>
      </w:r>
    </w:p>
    <w:p>
      <w:pPr>
        <w:pStyle w:val="Compact"/>
        <w:numPr>
          <w:ilvl w:val="0"/>
          <w:numId w:val="1021"/>
        </w:numPr>
      </w:pPr>
      <w:r>
        <w:t xml:space="preserve">execution risk</w:t>
      </w:r>
    </w:p>
    <w:p>
      <w:pPr>
        <w:pStyle w:val="Compact"/>
        <w:numPr>
          <w:ilvl w:val="0"/>
          <w:numId w:val="1021"/>
        </w:numPr>
      </w:pPr>
      <w:r>
        <w:t xml:space="preserve">refinancing risk</w:t>
      </w:r>
    </w:p>
    <w:p>
      <w:pPr>
        <w:pStyle w:val="Compact"/>
        <w:numPr>
          <w:ilvl w:val="0"/>
          <w:numId w:val="1021"/>
        </w:numPr>
      </w:pPr>
      <w:r>
        <w:t xml:space="preserve">liquidity risk</w:t>
      </w:r>
    </w:p>
    <w:p>
      <w:pPr>
        <w:pStyle w:val="Compact"/>
        <w:numPr>
          <w:ilvl w:val="0"/>
          <w:numId w:val="1021"/>
        </w:numPr>
      </w:pPr>
      <w:r>
        <w:t xml:space="preserve">valuation risk</w:t>
      </w:r>
    </w:p>
    <w:p>
      <w:pPr>
        <w:pStyle w:val="Compact"/>
        <w:numPr>
          <w:ilvl w:val="0"/>
          <w:numId w:val="1021"/>
        </w:numPr>
      </w:pPr>
      <w:r>
        <w:t xml:space="preserve">key-person risk</w:t>
      </w:r>
    </w:p>
    <w:p>
      <w:pPr>
        <w:pStyle w:val="Compact"/>
        <w:numPr>
          <w:ilvl w:val="0"/>
          <w:numId w:val="1021"/>
        </w:numPr>
      </w:pPr>
      <w:r>
        <w:t xml:space="preserve">macro sensitivity</w:t>
      </w:r>
    </w:p>
    <w:bookmarkEnd w:id="24"/>
    <w:bookmarkStart w:id="25" w:name="scenario-inputs"/>
    <w:p>
      <w:pPr>
        <w:pStyle w:val="Heading3"/>
      </w:pPr>
      <w:r>
        <w:t xml:space="preserve">9. Scenario Inputs</w:t>
      </w:r>
    </w:p>
    <w:p>
      <w:pPr>
        <w:pStyle w:val="FirstParagraph"/>
      </w:pPr>
      <w:r>
        <w:t xml:space="preserve">Collect the major scenarios you care about:</w:t>
      </w:r>
    </w:p>
    <w:p>
      <w:pPr>
        <w:pStyle w:val="Compact"/>
        <w:numPr>
          <w:ilvl w:val="0"/>
          <w:numId w:val="1022"/>
        </w:numPr>
      </w:pPr>
      <w:r>
        <w:t xml:space="preserve">base case</w:t>
      </w:r>
    </w:p>
    <w:p>
      <w:pPr>
        <w:pStyle w:val="Compact"/>
        <w:numPr>
          <w:ilvl w:val="0"/>
          <w:numId w:val="1022"/>
        </w:numPr>
      </w:pPr>
      <w:r>
        <w:t xml:space="preserve">upside case</w:t>
      </w:r>
    </w:p>
    <w:p>
      <w:pPr>
        <w:pStyle w:val="Compact"/>
        <w:numPr>
          <w:ilvl w:val="0"/>
          <w:numId w:val="1022"/>
        </w:numPr>
      </w:pPr>
      <w:r>
        <w:t xml:space="preserve">downside case</w:t>
      </w:r>
    </w:p>
    <w:p>
      <w:pPr>
        <w:pStyle w:val="Compact"/>
        <w:numPr>
          <w:ilvl w:val="0"/>
          <w:numId w:val="1022"/>
        </w:numPr>
      </w:pPr>
      <w:r>
        <w:t xml:space="preserve">what triggers each</w:t>
      </w:r>
    </w:p>
    <w:p>
      <w:pPr>
        <w:pStyle w:val="Compact"/>
        <w:numPr>
          <w:ilvl w:val="0"/>
          <w:numId w:val="1022"/>
        </w:numPr>
      </w:pPr>
      <w:r>
        <w:t xml:space="preserve">what would change your view quickly</w:t>
      </w:r>
    </w:p>
    <w:bookmarkEnd w:id="25"/>
    <w:bookmarkStart w:id="26" w:name="fragility-points"/>
    <w:p>
      <w:pPr>
        <w:pStyle w:val="Heading3"/>
      </w:pPr>
      <w:r>
        <w:t xml:space="preserve">10. Fragility Points</w:t>
      </w:r>
    </w:p>
    <w:p>
      <w:pPr>
        <w:pStyle w:val="FirstParagraph"/>
      </w:pPr>
      <w:r>
        <w:t xml:space="preserve">List any assumption that seems to carry too much load:</w:t>
      </w:r>
    </w:p>
    <w:p>
      <w:pPr>
        <w:pStyle w:val="Compact"/>
        <w:numPr>
          <w:ilvl w:val="0"/>
          <w:numId w:val="1023"/>
        </w:numPr>
      </w:pPr>
      <w:r>
        <w:t xml:space="preserve">one metric that matters too much</w:t>
      </w:r>
    </w:p>
    <w:p>
      <w:pPr>
        <w:pStyle w:val="Compact"/>
        <w:numPr>
          <w:ilvl w:val="0"/>
          <w:numId w:val="1023"/>
        </w:numPr>
      </w:pPr>
      <w:r>
        <w:t xml:space="preserve">one customer that matters too much</w:t>
      </w:r>
    </w:p>
    <w:p>
      <w:pPr>
        <w:pStyle w:val="Compact"/>
        <w:numPr>
          <w:ilvl w:val="0"/>
          <w:numId w:val="1023"/>
        </w:numPr>
      </w:pPr>
      <w:r>
        <w:t xml:space="preserve">one financing event that matters too much</w:t>
      </w:r>
    </w:p>
    <w:p>
      <w:pPr>
        <w:pStyle w:val="Compact"/>
        <w:numPr>
          <w:ilvl w:val="0"/>
          <w:numId w:val="1023"/>
        </w:numPr>
      </w:pPr>
      <w:r>
        <w:t xml:space="preserve">one regulatory outcome that matters too much</w:t>
      </w:r>
    </w:p>
    <w:p>
      <w:pPr>
        <w:pStyle w:val="Compact"/>
        <w:numPr>
          <w:ilvl w:val="0"/>
          <w:numId w:val="1023"/>
        </w:numPr>
      </w:pPr>
      <w:r>
        <w:t xml:space="preserve">one narrative claim that lacks real support</w:t>
      </w:r>
    </w:p>
    <w:bookmarkEnd w:id="26"/>
    <w:bookmarkStart w:id="27" w:name="competing-readings"/>
    <w:p>
      <w:pPr>
        <w:pStyle w:val="Heading3"/>
      </w:pPr>
      <w:r>
        <w:t xml:space="preserve">11. Competing Readings</w:t>
      </w:r>
    </w:p>
    <w:p>
      <w:pPr>
        <w:pStyle w:val="FirstParagraph"/>
      </w:pPr>
      <w:r>
        <w:t xml:space="preserve">Collect the best counter-thesis:</w:t>
      </w:r>
    </w:p>
    <w:p>
      <w:pPr>
        <w:pStyle w:val="Compact"/>
        <w:numPr>
          <w:ilvl w:val="0"/>
          <w:numId w:val="1024"/>
        </w:numPr>
      </w:pPr>
      <w:r>
        <w:t xml:space="preserve">strongest bull case</w:t>
      </w:r>
    </w:p>
    <w:p>
      <w:pPr>
        <w:pStyle w:val="Compact"/>
        <w:numPr>
          <w:ilvl w:val="0"/>
          <w:numId w:val="1024"/>
        </w:numPr>
      </w:pPr>
      <w:r>
        <w:t xml:space="preserve">strongest bear case</w:t>
      </w:r>
    </w:p>
    <w:p>
      <w:pPr>
        <w:pStyle w:val="Compact"/>
        <w:numPr>
          <w:ilvl w:val="0"/>
          <w:numId w:val="1024"/>
        </w:numPr>
      </w:pPr>
      <w:r>
        <w:t xml:space="preserve">strongest skeptical question</w:t>
      </w:r>
    </w:p>
    <w:p>
      <w:pPr>
        <w:pStyle w:val="Compact"/>
        <w:numPr>
          <w:ilvl w:val="0"/>
          <w:numId w:val="1024"/>
        </w:numPr>
      </w:pPr>
      <w:r>
        <w:t xml:space="preserve">what data would resolve the dispute</w:t>
      </w:r>
    </w:p>
    <w:bookmarkEnd w:id="27"/>
    <w:bookmarkStart w:id="28" w:name="source-map"/>
    <w:p>
      <w:pPr>
        <w:pStyle w:val="Heading3"/>
      </w:pPr>
      <w:r>
        <w:t xml:space="preserve">12. Source Map</w:t>
      </w:r>
    </w:p>
    <w:p>
      <w:pPr>
        <w:pStyle w:val="FirstParagraph"/>
      </w:pPr>
      <w:r>
        <w:t xml:space="preserve">Separate clearly:</w:t>
      </w:r>
    </w:p>
    <w:p>
      <w:pPr>
        <w:pStyle w:val="Compact"/>
        <w:numPr>
          <w:ilvl w:val="0"/>
          <w:numId w:val="1025"/>
        </w:numPr>
      </w:pPr>
      <w:r>
        <w:t xml:space="preserve">company-provided material</w:t>
      </w:r>
    </w:p>
    <w:p>
      <w:pPr>
        <w:pStyle w:val="Compact"/>
        <w:numPr>
          <w:ilvl w:val="0"/>
          <w:numId w:val="1025"/>
        </w:numPr>
      </w:pPr>
      <w:r>
        <w:t xml:space="preserve">market or third-party material</w:t>
      </w:r>
    </w:p>
    <w:p>
      <w:pPr>
        <w:pStyle w:val="Compact"/>
        <w:numPr>
          <w:ilvl w:val="0"/>
          <w:numId w:val="1025"/>
        </w:numPr>
      </w:pPr>
      <w:r>
        <w:t xml:space="preserve">financial statements or management reporting</w:t>
      </w:r>
    </w:p>
    <w:p>
      <w:pPr>
        <w:pStyle w:val="Compact"/>
        <w:numPr>
          <w:ilvl w:val="0"/>
          <w:numId w:val="1025"/>
        </w:numPr>
      </w:pPr>
      <w:r>
        <w:t xml:space="preserve">your own inference or memo language</w:t>
      </w:r>
    </w:p>
    <w:p>
      <w:pPr>
        <w:pStyle w:val="FirstParagraph"/>
      </w:pPr>
      <w:r>
        <w:t xml:space="preserve">This is one of the most important quality steps. Do not mix them together.</w:t>
      </w:r>
    </w:p>
    <w:bookmarkEnd w:id="28"/>
    <w:bookmarkStart w:id="29" w:name="missing-inputs"/>
    <w:p>
      <w:pPr>
        <w:pStyle w:val="Heading3"/>
      </w:pPr>
      <w:r>
        <w:t xml:space="preserve">13. Missing Inputs</w:t>
      </w:r>
    </w:p>
    <w:p>
      <w:pPr>
        <w:pStyle w:val="FirstParagraph"/>
      </w:pPr>
      <w:r>
        <w:t xml:space="preserve">List what is not yet known:</w:t>
      </w:r>
    </w:p>
    <w:p>
      <w:pPr>
        <w:pStyle w:val="Compact"/>
        <w:numPr>
          <w:ilvl w:val="0"/>
          <w:numId w:val="1026"/>
        </w:numPr>
      </w:pPr>
      <w:r>
        <w:t xml:space="preserve">stale or missing financial data</w:t>
      </w:r>
    </w:p>
    <w:p>
      <w:pPr>
        <w:pStyle w:val="Compact"/>
        <w:numPr>
          <w:ilvl w:val="0"/>
          <w:numId w:val="1026"/>
        </w:numPr>
      </w:pPr>
      <w:r>
        <w:t xml:space="preserve">no customer evidence</w:t>
      </w:r>
    </w:p>
    <w:p>
      <w:pPr>
        <w:pStyle w:val="Compact"/>
        <w:numPr>
          <w:ilvl w:val="0"/>
          <w:numId w:val="1026"/>
        </w:numPr>
      </w:pPr>
      <w:r>
        <w:t xml:space="preserve">no market-size support</w:t>
      </w:r>
    </w:p>
    <w:p>
      <w:pPr>
        <w:pStyle w:val="Compact"/>
        <w:numPr>
          <w:ilvl w:val="0"/>
          <w:numId w:val="1026"/>
        </w:numPr>
      </w:pPr>
      <w:r>
        <w:t xml:space="preserve">no competitive map</w:t>
      </w:r>
    </w:p>
    <w:p>
      <w:pPr>
        <w:pStyle w:val="Compact"/>
        <w:numPr>
          <w:ilvl w:val="0"/>
          <w:numId w:val="1026"/>
        </w:numPr>
      </w:pPr>
      <w:r>
        <w:t xml:space="preserve">no regulatory context</w:t>
      </w:r>
    </w:p>
    <w:p>
      <w:pPr>
        <w:pStyle w:val="Compact"/>
        <w:numPr>
          <w:ilvl w:val="0"/>
          <w:numId w:val="1026"/>
        </w:numPr>
      </w:pPr>
      <w:r>
        <w:t xml:space="preserve">no cap table / debt context</w:t>
      </w:r>
    </w:p>
    <w:p>
      <w:pPr>
        <w:pStyle w:val="Compact"/>
        <w:numPr>
          <w:ilvl w:val="0"/>
          <w:numId w:val="1026"/>
        </w:numPr>
      </w:pPr>
      <w:r>
        <w:t xml:space="preserve">no scenario framework</w:t>
      </w:r>
    </w:p>
    <w:bookmarkEnd w:id="29"/>
    <w:bookmarkStart w:id="30" w:name="output-goal"/>
    <w:p>
      <w:pPr>
        <w:pStyle w:val="Heading3"/>
      </w:pPr>
      <w:r>
        <w:t xml:space="preserve">14. Output Goal</w:t>
      </w:r>
    </w:p>
    <w:p>
      <w:pPr>
        <w:pStyle w:val="FirstParagraph"/>
      </w:pPr>
      <w:r>
        <w:t xml:space="preserve">What should the AXIOM report help you do?</w:t>
      </w:r>
    </w:p>
    <w:p>
      <w:pPr>
        <w:pStyle w:val="Compact"/>
        <w:numPr>
          <w:ilvl w:val="0"/>
          <w:numId w:val="1027"/>
        </w:numPr>
      </w:pPr>
      <w:r>
        <w:t xml:space="preserve">tighten the thesis</w:t>
      </w:r>
    </w:p>
    <w:p>
      <w:pPr>
        <w:pStyle w:val="Compact"/>
        <w:numPr>
          <w:ilvl w:val="0"/>
          <w:numId w:val="1027"/>
        </w:numPr>
      </w:pPr>
      <w:r>
        <w:t xml:space="preserve">identify break points</w:t>
      </w:r>
    </w:p>
    <w:p>
      <w:pPr>
        <w:pStyle w:val="Compact"/>
        <w:numPr>
          <w:ilvl w:val="0"/>
          <w:numId w:val="1027"/>
        </w:numPr>
      </w:pPr>
      <w:r>
        <w:t xml:space="preserve">see missing evidence</w:t>
      </w:r>
    </w:p>
    <w:p>
      <w:pPr>
        <w:pStyle w:val="Compact"/>
        <w:numPr>
          <w:ilvl w:val="0"/>
          <w:numId w:val="1027"/>
        </w:numPr>
      </w:pPr>
      <w:r>
        <w:t xml:space="preserve">stress-test conviction</w:t>
      </w:r>
    </w:p>
    <w:p>
      <w:pPr>
        <w:pStyle w:val="Compact"/>
        <w:numPr>
          <w:ilvl w:val="0"/>
          <w:numId w:val="1027"/>
        </w:numPr>
      </w:pPr>
      <w:r>
        <w:t xml:space="preserve">compare bull and bear cases</w:t>
      </w:r>
    </w:p>
    <w:p>
      <w:pPr>
        <w:pStyle w:val="Compact"/>
        <w:numPr>
          <w:ilvl w:val="0"/>
          <w:numId w:val="1027"/>
        </w:numPr>
      </w:pPr>
      <w:r>
        <w:t xml:space="preserve">decide what diligence to do next</w:t>
      </w:r>
    </w:p>
    <w:p>
      <w:r>
        <w:pict>
          <v:rect style="width:0;height:1.5pt" o:hralign="center" o:hrstd="t" o:hr="t"/>
        </w:pict>
      </w:r>
    </w:p>
    <w:bookmarkEnd w:id="30"/>
    <w:bookmarkEnd w:id="31"/>
    <w:bookmarkStart w:id="37" w:name="suggested-file-pack"/>
    <w:p>
      <w:pPr>
        <w:pStyle w:val="Heading2"/>
      </w:pPr>
      <w:r>
        <w:t xml:space="preserve">Suggested File Pack</w:t>
      </w:r>
    </w:p>
    <w:bookmarkStart w:id="32" w:name="file-1-01_request.md"/>
    <w:p>
      <w:pPr>
        <w:pStyle w:val="Heading3"/>
      </w:pPr>
      <w:r>
        <w:t xml:space="preserve">File 1:</w:t>
      </w:r>
      <w:r>
        <w:t xml:space="preserve"> </w:t>
      </w:r>
      <w:r>
        <w:rPr>
          <w:rStyle w:val="VerbatimChar"/>
        </w:rPr>
        <w:t xml:space="preserve">01_request.md</w:t>
      </w:r>
    </w:p>
    <w:p>
      <w:pPr>
        <w:pStyle w:val="FirstParagraph"/>
      </w:pPr>
      <w:r>
        <w:t xml:space="preserve">Use this for the decision context:</w:t>
      </w:r>
    </w:p>
    <w:p>
      <w:pPr>
        <w:pStyle w:val="SourceCode"/>
      </w:pPr>
      <w:r>
        <w:rPr>
          <w:rStyle w:val="VerbatimChar"/>
        </w:rPr>
        <w:t xml:space="preserve">Asset / matter name:</w:t>
      </w:r>
      <w:r>
        <w:br/>
      </w:r>
      <w:r>
        <w:rPr>
          <w:rStyle w:val="VerbatimChar"/>
        </w:rPr>
        <w:t xml:space="preserve">Run type:</w:t>
      </w:r>
      <w:r>
        <w:br/>
      </w:r>
      <w:r>
        <w:rPr>
          <w:rStyle w:val="VerbatimChar"/>
        </w:rPr>
        <w:t xml:space="preserve">Decision to support:</w:t>
      </w:r>
      <w:r>
        <w:br/>
      </w:r>
      <w:r>
        <w:br/>
      </w:r>
      <w:r>
        <w:rPr>
          <w:rStyle w:val="VerbatimChar"/>
        </w:rPr>
        <w:t xml:space="preserve">Top questions:</w:t>
      </w:r>
      <w:r>
        <w:br/>
      </w:r>
      <w:r>
        <w:rPr>
          <w:rStyle w:val="VerbatimChar"/>
        </w:rPr>
        <w:t xml:space="preserve">1.</w:t>
      </w:r>
      <w:r>
        <w:br/>
      </w:r>
      <w:r>
        <w:rPr>
          <w:rStyle w:val="VerbatimChar"/>
        </w:rPr>
        <w:t xml:space="preserve">2.</w:t>
      </w:r>
      <w:r>
        <w:br/>
      </w:r>
      <w:r>
        <w:rPr>
          <w:rStyle w:val="VerbatimChar"/>
        </w:rPr>
        <w:t xml:space="preserve">3.</w:t>
      </w:r>
      <w:r>
        <w:br/>
      </w:r>
      <w:r>
        <w:br/>
      </w:r>
      <w:r>
        <w:rPr>
          <w:rStyle w:val="VerbatimChar"/>
        </w:rPr>
        <w:t xml:space="preserve">Known constraints:</w:t>
      </w:r>
      <w:r>
        <w:br/>
      </w:r>
      <w:r>
        <w:br/>
      </w:r>
      <w:r>
        <w:rPr>
          <w:rStyle w:val="VerbatimChar"/>
        </w:rPr>
        <w:t xml:space="preserve">Known uncertainties:</w:t>
      </w:r>
    </w:p>
    <w:bookmarkEnd w:id="32"/>
    <w:bookmarkStart w:id="33" w:name="file-2-02_asset_or_company_snapshot.md"/>
    <w:p>
      <w:pPr>
        <w:pStyle w:val="Heading3"/>
      </w:pPr>
      <w:r>
        <w:t xml:space="preserve">File 2:</w:t>
      </w:r>
      <w:r>
        <w:t xml:space="preserve"> </w:t>
      </w:r>
      <w:r>
        <w:rPr>
          <w:rStyle w:val="VerbatimChar"/>
        </w:rPr>
        <w:t xml:space="preserve">02_asset_or_company_snapshot.md</w:t>
      </w:r>
    </w:p>
    <w:p>
      <w:pPr>
        <w:pStyle w:val="FirstParagraph"/>
      </w:pPr>
      <w:r>
        <w:t xml:space="preserve">Use this for the basic asset picture:</w:t>
      </w:r>
    </w:p>
    <w:p>
      <w:pPr>
        <w:pStyle w:val="SourceCode"/>
      </w:pPr>
      <w:r>
        <w:rPr>
          <w:rStyle w:val="VerbatimChar"/>
        </w:rPr>
        <w:t xml:space="preserve">Company / asset overview:</w:t>
      </w:r>
      <w:r>
        <w:br/>
      </w:r>
      <w:r>
        <w:br/>
      </w:r>
      <w:r>
        <w:rPr>
          <w:rStyle w:val="VerbatimChar"/>
        </w:rPr>
        <w:t xml:space="preserve">Business model:</w:t>
      </w:r>
      <w:r>
        <w:br/>
      </w:r>
      <w:r>
        <w:br/>
      </w:r>
      <w:r>
        <w:rPr>
          <w:rStyle w:val="VerbatimChar"/>
        </w:rPr>
        <w:t xml:space="preserve">Market / sector:</w:t>
      </w:r>
      <w:r>
        <w:br/>
      </w:r>
      <w:r>
        <w:br/>
      </w:r>
      <w:r>
        <w:rPr>
          <w:rStyle w:val="VerbatimChar"/>
        </w:rPr>
        <w:t xml:space="preserve">Current position:</w:t>
      </w:r>
      <w:r>
        <w:br/>
      </w:r>
      <w:r>
        <w:br/>
      </w:r>
      <w:r>
        <w:rPr>
          <w:rStyle w:val="VerbatimChar"/>
        </w:rPr>
        <w:t xml:space="preserve">Why it matters:</w:t>
      </w:r>
    </w:p>
    <w:bookmarkEnd w:id="33"/>
    <w:bookmarkStart w:id="34" w:name="file-3-03_thesis_and_assumptions.md"/>
    <w:p>
      <w:pPr>
        <w:pStyle w:val="Heading3"/>
      </w:pPr>
      <w:r>
        <w:t xml:space="preserve">File 3:</w:t>
      </w:r>
      <w:r>
        <w:t xml:space="preserve"> </w:t>
      </w:r>
      <w:r>
        <w:rPr>
          <w:rStyle w:val="VerbatimChar"/>
        </w:rPr>
        <w:t xml:space="preserve">03_thesis_and_assumptions.md</w:t>
      </w:r>
    </w:p>
    <w:p>
      <w:pPr>
        <w:pStyle w:val="FirstParagraph"/>
      </w:pPr>
      <w:r>
        <w:t xml:space="preserve">Use this for the main thesis:</w:t>
      </w:r>
    </w:p>
    <w:p>
      <w:pPr>
        <w:pStyle w:val="SourceCode"/>
      </w:pPr>
      <w:r>
        <w:rPr>
          <w:rStyle w:val="VerbatimChar"/>
        </w:rPr>
        <w:t xml:space="preserve">Primary thesis:</w:t>
      </w:r>
      <w:r>
        <w:br/>
      </w:r>
      <w:r>
        <w:br/>
      </w:r>
      <w:r>
        <w:rPr>
          <w:rStyle w:val="VerbatimChar"/>
        </w:rPr>
        <w:t xml:space="preserve">Why now:</w:t>
      </w:r>
      <w:r>
        <w:br/>
      </w:r>
      <w:r>
        <w:br/>
      </w:r>
      <w:r>
        <w:rPr>
          <w:rStyle w:val="VerbatimChar"/>
        </w:rPr>
        <w:t xml:space="preserve">Assumptions:</w:t>
      </w:r>
      <w:r>
        <w:br/>
      </w:r>
      <w:r>
        <w:br/>
      </w:r>
      <w:r>
        <w:rPr>
          <w:rStyle w:val="VerbatimChar"/>
        </w:rPr>
        <w:t xml:space="preserve">What has to go right:</w:t>
      </w:r>
      <w:r>
        <w:br/>
      </w:r>
      <w:r>
        <w:br/>
      </w:r>
      <w:r>
        <w:rPr>
          <w:rStyle w:val="VerbatimChar"/>
        </w:rPr>
        <w:t xml:space="preserve">Invalidation conditions:</w:t>
      </w:r>
    </w:p>
    <w:bookmarkEnd w:id="34"/>
    <w:bookmarkStart w:id="35" w:name="file-4-04_risk_scenarios.md"/>
    <w:p>
      <w:pPr>
        <w:pStyle w:val="Heading3"/>
      </w:pPr>
      <w:r>
        <w:t xml:space="preserve">File 4:</w:t>
      </w:r>
      <w:r>
        <w:t xml:space="preserve"> </w:t>
      </w:r>
      <w:r>
        <w:rPr>
          <w:rStyle w:val="VerbatimChar"/>
        </w:rPr>
        <w:t xml:space="preserve">04_risk_scenarios.md</w:t>
      </w:r>
    </w:p>
    <w:p>
      <w:pPr>
        <w:pStyle w:val="FirstParagraph"/>
      </w:pPr>
      <w:r>
        <w:t xml:space="preserve">Use this for the downside frame:</w:t>
      </w:r>
    </w:p>
    <w:p>
      <w:pPr>
        <w:pStyle w:val="SourceCode"/>
      </w:pPr>
      <w:r>
        <w:rPr>
          <w:rStyle w:val="VerbatimChar"/>
        </w:rPr>
        <w:t xml:space="preserve">Key risks:</w:t>
      </w:r>
      <w:r>
        <w:br/>
      </w:r>
      <w:r>
        <w:br/>
      </w:r>
      <w:r>
        <w:rPr>
          <w:rStyle w:val="VerbatimChar"/>
        </w:rPr>
        <w:t xml:space="preserve">Scenario map:</w:t>
      </w:r>
      <w:r>
        <w:br/>
      </w:r>
      <w:r>
        <w:br/>
      </w:r>
      <w:r>
        <w:rPr>
          <w:rStyle w:val="VerbatimChar"/>
        </w:rPr>
        <w:t xml:space="preserve">Fragility points:</w:t>
      </w:r>
      <w:r>
        <w:br/>
      </w:r>
      <w:r>
        <w:br/>
      </w:r>
      <w:r>
        <w:rPr>
          <w:rStyle w:val="VerbatimChar"/>
        </w:rPr>
        <w:t xml:space="preserve">Counter-thesis:</w:t>
      </w:r>
    </w:p>
    <w:bookmarkEnd w:id="35"/>
    <w:bookmarkStart w:id="36" w:name="X2d4626827fba8497553b4817f7c22f8cceef1ef"/>
    <w:p>
      <w:pPr>
        <w:pStyle w:val="Heading3"/>
      </w:pPr>
      <w:r>
        <w:t xml:space="preserve">File 5:</w:t>
      </w:r>
      <w:r>
        <w:t xml:space="preserve"> </w:t>
      </w:r>
      <w:r>
        <w:rPr>
          <w:rStyle w:val="VerbatimChar"/>
        </w:rPr>
        <w:t xml:space="preserve">05_supporting_market_or_financial_notes.md</w:t>
      </w:r>
    </w:p>
    <w:p>
      <w:pPr>
        <w:pStyle w:val="FirstParagraph"/>
      </w:pPr>
      <w:r>
        <w:t xml:space="preserve">Use this for the evidence pack:</w:t>
      </w:r>
    </w:p>
    <w:p>
      <w:pPr>
        <w:pStyle w:val="SourceCode"/>
      </w:pPr>
      <w:r>
        <w:rPr>
          <w:rStyle w:val="VerbatimChar"/>
        </w:rPr>
        <w:t xml:space="preserve">Financial notes:</w:t>
      </w:r>
      <w:r>
        <w:br/>
      </w:r>
      <w:r>
        <w:br/>
      </w:r>
      <w:r>
        <w:rPr>
          <w:rStyle w:val="VerbatimChar"/>
        </w:rPr>
        <w:t xml:space="preserve">Market notes:</w:t>
      </w:r>
      <w:r>
        <w:br/>
      </w:r>
      <w:r>
        <w:br/>
      </w:r>
      <w:r>
        <w:rPr>
          <w:rStyle w:val="VerbatimChar"/>
        </w:rPr>
        <w:t xml:space="preserve">Competitive notes:</w:t>
      </w:r>
      <w:r>
        <w:br/>
      </w:r>
      <w:r>
        <w:br/>
      </w:r>
      <w:r>
        <w:rPr>
          <w:rStyle w:val="VerbatimChar"/>
        </w:rPr>
        <w:t xml:space="preserve">Sources:</w:t>
      </w:r>
    </w:p>
    <w:p>
      <w:r>
        <w:pict>
          <v:rect style="width:0;height:1.5pt" o:hralign="center" o:hrstd="t" o:hr="t"/>
        </w:pict>
      </w:r>
    </w:p>
    <w:bookmarkEnd w:id="36"/>
    <w:bookmarkEnd w:id="37"/>
    <w:bookmarkStart w:id="38" w:name="fill-in-intake-block"/>
    <w:p>
      <w:pPr>
        <w:pStyle w:val="Heading2"/>
      </w:pPr>
      <w:r>
        <w:t xml:space="preserve">Fill-In Intake Block</w:t>
      </w:r>
    </w:p>
    <w:p>
      <w:pPr>
        <w:pStyle w:val="FirstParagraph"/>
      </w:pPr>
      <w:r>
        <w:t xml:space="preserve">Copy this block into a working</w:t>
      </w:r>
      <w:r>
        <w:t xml:space="preserve"> </w:t>
      </w:r>
      <w:r>
        <w:rPr>
          <w:rStyle w:val="VerbatimChar"/>
        </w:rPr>
        <w:t xml:space="preserve">.md</w:t>
      </w:r>
      <w:r>
        <w:t xml:space="preserve"> </w:t>
      </w:r>
      <w:r>
        <w:t xml:space="preserve">file and complete it.</w:t>
      </w:r>
    </w:p>
    <w:p>
      <w:pPr>
        <w:pStyle w:val="SourceCode"/>
      </w:pPr>
      <w:r>
        <w:rPr>
          <w:rStyle w:val="VerbatimChar"/>
        </w:rPr>
        <w:t xml:space="preserve">Asset / matter name:</w:t>
      </w:r>
      <w:r>
        <w:br/>
      </w:r>
      <w:r>
        <w:rPr>
          <w:rStyle w:val="VerbatimChar"/>
        </w:rPr>
        <w:t xml:space="preserve">Run type:</w:t>
      </w:r>
      <w:r>
        <w:br/>
      </w:r>
      <w:r>
        <w:rPr>
          <w:rStyle w:val="VerbatimChar"/>
        </w:rPr>
        <w:t xml:space="preserve">Prepared by:</w:t>
      </w:r>
      <w:r>
        <w:br/>
      </w:r>
      <w:r>
        <w:rPr>
          <w:rStyle w:val="VerbatimChar"/>
        </w:rPr>
        <w:t xml:space="preserve">Prepared on:</w:t>
      </w:r>
      <w:r>
        <w:br/>
      </w:r>
      <w:r>
        <w:br/>
      </w:r>
      <w:r>
        <w:rPr>
          <w:rStyle w:val="VerbatimChar"/>
        </w:rPr>
        <w:t xml:space="preserve">Decision to support:</w:t>
      </w:r>
      <w:r>
        <w:br/>
      </w:r>
      <w:r>
        <w:br/>
      </w:r>
      <w:r>
        <w:rPr>
          <w:rStyle w:val="VerbatimChar"/>
        </w:rPr>
        <w:t xml:space="preserve">Primary review questions:</w:t>
      </w:r>
      <w:r>
        <w:br/>
      </w:r>
      <w:r>
        <w:rPr>
          <w:rStyle w:val="VerbatimChar"/>
        </w:rPr>
        <w:t xml:space="preserve">1.</w:t>
      </w:r>
      <w:r>
        <w:br/>
      </w:r>
      <w:r>
        <w:rPr>
          <w:rStyle w:val="VerbatimChar"/>
        </w:rPr>
        <w:t xml:space="preserve">2.</w:t>
      </w:r>
      <w:r>
        <w:br/>
      </w:r>
      <w:r>
        <w:rPr>
          <w:rStyle w:val="VerbatimChar"/>
        </w:rPr>
        <w:t xml:space="preserve">3.</w:t>
      </w:r>
      <w:r>
        <w:br/>
      </w:r>
      <w:r>
        <w:br/>
      </w:r>
      <w:r>
        <w:rPr>
          <w:rStyle w:val="VerbatimChar"/>
        </w:rPr>
        <w:t xml:space="preserve">Company / asset:</w:t>
      </w:r>
      <w:r>
        <w:br/>
      </w:r>
      <w:r>
        <w:rPr>
          <w:rStyle w:val="VerbatimChar"/>
        </w:rPr>
        <w:t xml:space="preserve">Ticker / identifier:</w:t>
      </w:r>
      <w:r>
        <w:br/>
      </w:r>
      <w:r>
        <w:rPr>
          <w:rStyle w:val="VerbatimChar"/>
        </w:rPr>
        <w:t xml:space="preserve">Geography:</w:t>
      </w:r>
      <w:r>
        <w:br/>
      </w:r>
      <w:r>
        <w:rPr>
          <w:rStyle w:val="VerbatimChar"/>
        </w:rPr>
        <w:t xml:space="preserve">Sector:</w:t>
      </w:r>
      <w:r>
        <w:br/>
      </w:r>
      <w:r>
        <w:rPr>
          <w:rStyle w:val="VerbatimChar"/>
        </w:rPr>
        <w:t xml:space="preserve">Stage:</w:t>
      </w:r>
      <w:r>
        <w:br/>
      </w:r>
      <w:r>
        <w:rPr>
          <w:rStyle w:val="VerbatimChar"/>
        </w:rPr>
        <w:t xml:space="preserve">Time horizon:</w:t>
      </w:r>
      <w:r>
        <w:br/>
      </w:r>
      <w:r>
        <w:rPr>
          <w:rStyle w:val="VerbatimChar"/>
        </w:rPr>
        <w:t xml:space="preserve">Position type:</w:t>
      </w:r>
      <w:r>
        <w:br/>
      </w:r>
      <w:r>
        <w:br/>
      </w:r>
      <w:r>
        <w:rPr>
          <w:rStyle w:val="VerbatimChar"/>
        </w:rPr>
        <w:t xml:space="preserve">Primary thesis:</w:t>
      </w:r>
      <w:r>
        <w:br/>
      </w:r>
      <w:r>
        <w:rPr>
          <w:rStyle w:val="VerbatimChar"/>
        </w:rPr>
        <w:t xml:space="preserve">Why now:</w:t>
      </w:r>
      <w:r>
        <w:br/>
      </w:r>
      <w:r>
        <w:rPr>
          <w:rStyle w:val="VerbatimChar"/>
        </w:rPr>
        <w:t xml:space="preserve">What the market may be missing:</w:t>
      </w:r>
      <w:r>
        <w:br/>
      </w:r>
      <w:r>
        <w:rPr>
          <w:rStyle w:val="VerbatimChar"/>
        </w:rPr>
        <w:t xml:space="preserve">What must go right:</w:t>
      </w:r>
      <w:r>
        <w:br/>
      </w:r>
      <w:r>
        <w:rPr>
          <w:rStyle w:val="VerbatimChar"/>
        </w:rPr>
        <w:t xml:space="preserve">What would break the thesis:</w:t>
      </w:r>
      <w:r>
        <w:br/>
      </w:r>
      <w:r>
        <w:br/>
      </w:r>
      <w:r>
        <w:rPr>
          <w:rStyle w:val="VerbatimChar"/>
        </w:rPr>
        <w:t xml:space="preserve">Main assumptions:</w:t>
      </w:r>
      <w:r>
        <w:br/>
      </w:r>
      <w:r>
        <w:br/>
      </w:r>
      <w:r>
        <w:rPr>
          <w:rStyle w:val="VerbatimChar"/>
        </w:rPr>
        <w:t xml:space="preserve">Business / asset snapshot:</w:t>
      </w:r>
      <w:r>
        <w:br/>
      </w:r>
      <w:r>
        <w:br/>
      </w:r>
      <w:r>
        <w:rPr>
          <w:rStyle w:val="VerbatimChar"/>
        </w:rPr>
        <w:t xml:space="preserve">Financial snapshot:</w:t>
      </w:r>
      <w:r>
        <w:br/>
      </w:r>
      <w:r>
        <w:br/>
      </w:r>
      <w:r>
        <w:rPr>
          <w:rStyle w:val="VerbatimChar"/>
        </w:rPr>
        <w:t xml:space="preserve">Key risks:</w:t>
      </w:r>
      <w:r>
        <w:br/>
      </w:r>
      <w:r>
        <w:br/>
      </w:r>
      <w:r>
        <w:rPr>
          <w:rStyle w:val="VerbatimChar"/>
        </w:rPr>
        <w:t xml:space="preserve">Scenario inputs:</w:t>
      </w:r>
      <w:r>
        <w:br/>
      </w:r>
      <w:r>
        <w:br/>
      </w:r>
      <w:r>
        <w:rPr>
          <w:rStyle w:val="VerbatimChar"/>
        </w:rPr>
        <w:t xml:space="preserve">Fragility points:</w:t>
      </w:r>
      <w:r>
        <w:br/>
      </w:r>
      <w:r>
        <w:br/>
      </w:r>
      <w:r>
        <w:rPr>
          <w:rStyle w:val="VerbatimChar"/>
        </w:rPr>
        <w:t xml:space="preserve">Bull case:</w:t>
      </w:r>
      <w:r>
        <w:br/>
      </w:r>
      <w:r>
        <w:br/>
      </w:r>
      <w:r>
        <w:rPr>
          <w:rStyle w:val="VerbatimChar"/>
        </w:rPr>
        <w:t xml:space="preserve">Bear case:</w:t>
      </w:r>
      <w:r>
        <w:br/>
      </w:r>
      <w:r>
        <w:br/>
      </w:r>
      <w:r>
        <w:rPr>
          <w:rStyle w:val="VerbatimChar"/>
        </w:rPr>
        <w:t xml:space="preserve">Evidence base:</w:t>
      </w:r>
      <w:r>
        <w:br/>
      </w:r>
      <w:r>
        <w:br/>
      </w:r>
      <w:r>
        <w:rPr>
          <w:rStyle w:val="VerbatimChar"/>
        </w:rPr>
        <w:t xml:space="preserve">Source map:</w:t>
      </w:r>
      <w:r>
        <w:br/>
      </w:r>
      <w:r>
        <w:br/>
      </w:r>
      <w:r>
        <w:rPr>
          <w:rStyle w:val="VerbatimChar"/>
        </w:rPr>
        <w:t xml:space="preserve">Missing information:</w:t>
      </w:r>
      <w:r>
        <w:br/>
      </w:r>
      <w:r>
        <w:br/>
      </w:r>
      <w:r>
        <w:rPr>
          <w:rStyle w:val="VerbatimChar"/>
        </w:rPr>
        <w:t xml:space="preserve">What a useful AXIOM output should focus on:</w:t>
      </w:r>
    </w:p>
    <w:p>
      <w:r>
        <w:pict>
          <v:rect style="width:0;height:1.5pt" o:hralign="center" o:hrstd="t" o:hr="t"/>
        </w:pict>
      </w:r>
    </w:p>
    <w:bookmarkEnd w:id="38"/>
    <w:bookmarkStart w:id="40" w:name="recommended-prompt-pairing"/>
    <w:p>
      <w:pPr>
        <w:pStyle w:val="Heading2"/>
      </w:pPr>
      <w:r>
        <w:t xml:space="preserve">Recommended Prompt Pairing</w:t>
      </w:r>
    </w:p>
    <w:p>
      <w:pPr>
        <w:pStyle w:val="FirstParagraph"/>
      </w:pPr>
      <w:r>
        <w:t xml:space="preserve">Use this template together with:</w:t>
      </w:r>
    </w:p>
    <w:p>
      <w:pPr>
        <w:pStyle w:val="Compact"/>
        <w:numPr>
          <w:ilvl w:val="0"/>
          <w:numId w:val="1028"/>
        </w:numPr>
      </w:pPr>
      <w:hyperlink r:id="rId39">
        <w:r>
          <w:rPr>
            <w:rStyle w:val="Hyperlink"/>
          </w:rPr>
          <w:t xml:space="preserve">INVESTMENT_ANALYSIS_PROMPT_2026-04-12.txt</w:t>
        </w:r>
      </w:hyperlink>
    </w:p>
    <w:p>
      <w:pPr>
        <w:pStyle w:val="FirstParagraph"/>
      </w:pPr>
      <w:r>
        <w:t xml:space="preserve">Best pattern:</w:t>
      </w:r>
    </w:p>
    <w:p>
      <w:pPr>
        <w:pStyle w:val="Compact"/>
        <w:numPr>
          <w:ilvl w:val="0"/>
          <w:numId w:val="1029"/>
        </w:numPr>
      </w:pPr>
      <w:r>
        <w:t xml:space="preserve">fill out this intake</w:t>
      </w:r>
    </w:p>
    <w:p>
      <w:pPr>
        <w:pStyle w:val="Compact"/>
        <w:numPr>
          <w:ilvl w:val="0"/>
          <w:numId w:val="1029"/>
        </w:numPr>
      </w:pPr>
      <w:r>
        <w:t xml:space="preserve">upload this intake plus the actual investment material</w:t>
      </w:r>
    </w:p>
    <w:p>
      <w:pPr>
        <w:pStyle w:val="Compact"/>
        <w:numPr>
          <w:ilvl w:val="0"/>
          <w:numId w:val="1029"/>
        </w:numPr>
      </w:pPr>
      <w:r>
        <w:t xml:space="preserve">use the short prompt file in the portal request box</w:t>
      </w:r>
    </w:p>
    <w:p>
      <w:r>
        <w:pict>
          <v:rect style="width:0;height:1.5pt" o:hralign="center" o:hrstd="t" o:hr="t"/>
        </w:pict>
      </w:r>
    </w:p>
    <w:bookmarkEnd w:id="40"/>
    <w:bookmarkStart w:id="41" w:name="practical-notes-for-better-results"/>
    <w:p>
      <w:pPr>
        <w:pStyle w:val="Heading2"/>
      </w:pPr>
      <w:r>
        <w:t xml:space="preserve">Practical Notes For Better Results</w:t>
      </w:r>
    </w:p>
    <w:p>
      <w:pPr>
        <w:pStyle w:val="Compact"/>
        <w:numPr>
          <w:ilvl w:val="0"/>
          <w:numId w:val="1030"/>
        </w:numPr>
      </w:pPr>
      <w:r>
        <w:t xml:space="preserve">Start with</w:t>
      </w:r>
      <w:r>
        <w:t xml:space="preserve"> </w:t>
      </w:r>
      <w:r>
        <w:rPr>
          <w:rStyle w:val="VerbatimChar"/>
        </w:rPr>
        <w:t xml:space="preserve">Standard</w:t>
      </w:r>
      <w:r>
        <w:t xml:space="preserve"> </w:t>
      </w:r>
      <w:r>
        <w:t xml:space="preserve">depth, not</w:t>
      </w:r>
      <w:r>
        <w:t xml:space="preserve"> </w:t>
      </w:r>
      <w:r>
        <w:rPr>
          <w:rStyle w:val="VerbatimChar"/>
        </w:rPr>
        <w:t xml:space="preserve">Deep</w:t>
      </w:r>
    </w:p>
    <w:p>
      <w:pPr>
        <w:pStyle w:val="Compact"/>
        <w:numPr>
          <w:ilvl w:val="0"/>
          <w:numId w:val="1030"/>
        </w:numPr>
      </w:pPr>
      <w:r>
        <w:t xml:space="preserve">Use</w:t>
      </w:r>
      <w:r>
        <w:t xml:space="preserve"> </w:t>
      </w:r>
      <w:r>
        <w:rPr>
          <w:rStyle w:val="VerbatimChar"/>
        </w:rPr>
        <w:t xml:space="preserve">thesis</w:t>
      </w:r>
      <w:r>
        <w:t xml:space="preserve"> </w:t>
      </w:r>
      <w:r>
        <w:t xml:space="preserve">for interpretation structure and invalidation logic</w:t>
      </w:r>
    </w:p>
    <w:p>
      <w:pPr>
        <w:pStyle w:val="Compact"/>
        <w:numPr>
          <w:ilvl w:val="0"/>
          <w:numId w:val="1030"/>
        </w:numPr>
      </w:pPr>
      <w:r>
        <w:t xml:space="preserve">Use</w:t>
      </w:r>
      <w:r>
        <w:t xml:space="preserve"> </w:t>
      </w:r>
      <w:r>
        <w:rPr>
          <w:rStyle w:val="VerbatimChar"/>
        </w:rPr>
        <w:t xml:space="preserve">risk</w:t>
      </w:r>
      <w:r>
        <w:t xml:space="preserve"> </w:t>
      </w:r>
      <w:r>
        <w:t xml:space="preserve">for downside, concentration, scenario, and fragility mapping</w:t>
      </w:r>
    </w:p>
    <w:p>
      <w:pPr>
        <w:pStyle w:val="Compact"/>
        <w:numPr>
          <w:ilvl w:val="0"/>
          <w:numId w:val="1030"/>
        </w:numPr>
      </w:pPr>
      <w:r>
        <w:t xml:space="preserve">Use</w:t>
      </w:r>
      <w:r>
        <w:t xml:space="preserve"> </w:t>
      </w:r>
      <w:r>
        <w:rPr>
          <w:rStyle w:val="VerbatimChar"/>
        </w:rPr>
        <w:t xml:space="preserve">thesis + risk</w:t>
      </w:r>
      <w:r>
        <w:t xml:space="preserve"> </w:t>
      </w:r>
      <w:r>
        <w:t xml:space="preserve">when you want the broadest review</w:t>
      </w:r>
    </w:p>
    <w:p>
      <w:pPr>
        <w:pStyle w:val="Compact"/>
        <w:numPr>
          <w:ilvl w:val="0"/>
          <w:numId w:val="1030"/>
        </w:numPr>
      </w:pPr>
      <w:r>
        <w:t xml:space="preserve">Use live sources only when external market context genuinely matters</w:t>
      </w:r>
    </w:p>
    <w:p>
      <w:pPr>
        <w:pStyle w:val="Compact"/>
        <w:numPr>
          <w:ilvl w:val="0"/>
          <w:numId w:val="1030"/>
        </w:numPr>
      </w:pPr>
      <w:r>
        <w:t xml:space="preserve">If the result is weak, improve the evidence package before making the prompt longer</w:t>
      </w:r>
    </w:p>
    <w:p>
      <w:pPr>
        <w:pStyle w:val="Compact"/>
        <w:numPr>
          <w:ilvl w:val="0"/>
          <w:numId w:val="1030"/>
        </w:numPr>
      </w:pPr>
      <w:r>
        <w:t xml:space="preserve">If you want a serious result, include actual assumptions, not just a slogan or one-sentence thesis</w:t>
      </w:r>
    </w:p>
    <w:p>
      <w:r>
        <w:pict>
          <v:rect style="width:0;height:1.5pt" o:hralign="center" o:hrstd="t" o:hr="t"/>
        </w:pict>
      </w:r>
    </w:p>
    <w:bookmarkEnd w:id="41"/>
    <w:bookmarkStart w:id="42" w:name="caution"/>
    <w:p>
      <w:pPr>
        <w:pStyle w:val="Heading2"/>
      </w:pPr>
      <w:r>
        <w:t xml:space="preserve">Caution</w:t>
      </w:r>
    </w:p>
    <w:p>
      <w:pPr>
        <w:pStyle w:val="FirstParagraph"/>
      </w:pPr>
      <w:r>
        <w:t xml:space="preserve">AXIOM can help surface:</w:t>
      </w:r>
    </w:p>
    <w:p>
      <w:pPr>
        <w:pStyle w:val="Compact"/>
        <w:numPr>
          <w:ilvl w:val="0"/>
          <w:numId w:val="1031"/>
        </w:numPr>
      </w:pPr>
      <w:r>
        <w:t xml:space="preserve">thesis structure</w:t>
      </w:r>
    </w:p>
    <w:p>
      <w:pPr>
        <w:pStyle w:val="Compact"/>
        <w:numPr>
          <w:ilvl w:val="0"/>
          <w:numId w:val="1031"/>
        </w:numPr>
      </w:pPr>
      <w:r>
        <w:t xml:space="preserve">assumptions</w:t>
      </w:r>
    </w:p>
    <w:p>
      <w:pPr>
        <w:pStyle w:val="Compact"/>
        <w:numPr>
          <w:ilvl w:val="0"/>
          <w:numId w:val="1031"/>
        </w:numPr>
      </w:pPr>
      <w:r>
        <w:t xml:space="preserve">invalidation conditions</w:t>
      </w:r>
    </w:p>
    <w:p>
      <w:pPr>
        <w:pStyle w:val="Compact"/>
        <w:numPr>
          <w:ilvl w:val="0"/>
          <w:numId w:val="1031"/>
        </w:numPr>
      </w:pPr>
      <w:r>
        <w:t xml:space="preserve">fragility points</w:t>
      </w:r>
    </w:p>
    <w:p>
      <w:pPr>
        <w:pStyle w:val="Compact"/>
        <w:numPr>
          <w:ilvl w:val="0"/>
          <w:numId w:val="1031"/>
        </w:numPr>
      </w:pPr>
      <w:r>
        <w:t xml:space="preserve">scenario pressure</w:t>
      </w:r>
    </w:p>
    <w:p>
      <w:pPr>
        <w:pStyle w:val="Compact"/>
        <w:numPr>
          <w:ilvl w:val="0"/>
          <w:numId w:val="1031"/>
        </w:numPr>
      </w:pPr>
      <w:r>
        <w:t xml:space="preserve">information gaps</w:t>
      </w:r>
    </w:p>
    <w:p>
      <w:pPr>
        <w:pStyle w:val="FirstParagraph"/>
      </w:pPr>
      <w:r>
        <w:t xml:space="preserve">It should not be treated as a recommendation engine, price target model, or substitute for full diligence.</w:t>
      </w:r>
    </w:p>
    <w:p>
      <w:r>
        <w:pict>
          <v:rect style="width:0;height:1.5pt" o:hralign="center" o:hrstd="t" o:hr="t"/>
        </w:pict>
      </w:r>
    </w:p>
    <w:p>
      <w:pPr>
        <w:pStyle w:val="FirstParagraph"/>
      </w:pPr>
      <w:r>
        <w:t xml:space="preserve">End of Investment Analysis Intake Template v1.0</w:t>
      </w:r>
    </w:p>
    <w:bookmarkEnd w:id="42"/>
    <w:bookmarkEnd w:id="43"/>
    <w:sectPr>
      <w:footnotePr>
        <w:numRestart w:val="eachSect"/>
      </w:footnotePr>
    </w:sectPr>
  </w:body>
</w:document>
</file>

<file path=word/comments.xml><?xml version="1.0" encoding="utf-8"?>
<w:comments xmlns:w="http://schemas.openxmlformats.org/wordprocessingml/2006/main" xmlns:m="http://schemas.openxmlformats.org/officeDocument/2006/math" xmlns:r="http://schemas.openxmlformats.org/officeDocument/2006/relationships" xmlns:o="urn:schemas-microsoft-com:office:office" xmlns:v="urn:schemas-microsoft-com:vml" xmlns:w10="urn:schemas-microsoft-com:office:word" xmlns:a="http://schemas.openxmlformats.org/drawingml/2006/main" xmlns:pic="http://schemas.openxmlformats.org/drawingml/2006/picture" xmlns:wp="http://schemas.openxmlformats.org/drawingml/2006/wordprocessingDrawing"/>
</file>

<file path=word/fontTable.xml><?xml version="1.0" encoding="utf-8"?>
<w:fonts xmlns:r="http://schemas.openxmlformats.org/officeDocument/2006/relationships" xmlns:w="http://schemas.openxmlformats.org/wordprocessingml/2006/main"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="http://schemas.openxmlformats.org/wordprocessingml/2006/main" xmlns:m="http://schemas.openxmlformats.org/officeDocument/2006/math" xmlns:r="http://schemas.openxmlformats.org/officeDocument/2006/relationships" xmlns:o="urn:schemas-microsoft-com:office:office" xmlns:v="urn:schemas-microsoft-com:vml" xmlns:w10="urn:schemas-microsoft-com:office:word" xmlns:a="http://schemas.openxmlformats.org/drawingml/2006/main" xmlns:pic="http://schemas.openxmlformats.org/drawingml/2006/picture" xmlns:wp="http://schemas.openxmlformats.org/drawingml/2006/wordprocessingDrawing">
  <w:footnote w:type="continuationSeparator" w:id="0">
    <w:p>
      <w:r>
        <w:continuationSeparator/>
      </w:r>
    </w:p>
  </w:footnote>
  <w:footnote w:type="separator" w:id="-1">
    <w:p>
      <w:r>
        <w:separator/>
      </w:r>
    </w:p>
  </w:footnote>
</w:footnotes>
</file>

<file path=word/numbering.xml><?xml version="1.0" encoding="utf-8"?>
<w:numbering xmlns:w="http://schemas.openxmlformats.org/wordprocessingml/2006/main">
  <w:abstractNum w:abstractNumId="990">
    <w:nsid w:val="0000A990"/>
    <w:multiLevelType w:val="multilevel"/>
    <w:lvl w:ilvl="0">
      <w:numFmt w:val="bullet"/>
      <w:lvlText w:val=" "/>
      <w:lvlJc w:val="left"/>
      <w:pPr>
        <w:ind w:left="720" w:hanging="360"/>
      </w:pPr>
    </w:lvl>
    <w:lvl w:ilvl="1">
      <w:numFmt w:val="bullet"/>
      <w:lvlText w:val=" "/>
      <w:lvlJc w:val="left"/>
      <w:pPr>
        <w:ind w:left="1440" w:hanging="360"/>
      </w:pPr>
    </w:lvl>
    <w:lvl w:ilvl="2">
      <w:numFmt w:val="bullet"/>
      <w:lvlText w:val=" "/>
      <w:lvlJc w:val="left"/>
      <w:pPr>
        <w:ind w:left="2160" w:hanging="360"/>
      </w:pPr>
    </w:lvl>
    <w:lvl w:ilvl="3">
      <w:numFmt w:val="bullet"/>
      <w:lvlText w:val=" "/>
      <w:lvlJc w:val="left"/>
      <w:pPr>
        <w:ind w:left="2880" w:hanging="360"/>
      </w:pPr>
    </w:lvl>
    <w:lvl w:ilvl="4">
      <w:numFmt w:val="bullet"/>
      <w:lvlText w:val=" "/>
      <w:lvlJc w:val="left"/>
      <w:pPr>
        <w:ind w:left="3600" w:hanging="360"/>
      </w:pPr>
    </w:lvl>
    <w:lvl w:ilvl="5">
      <w:numFmt w:val="bullet"/>
      <w:lvlText w:val=" "/>
      <w:lvlJc w:val="left"/>
      <w:pPr>
        <w:ind w:left="4320" w:hanging="360"/>
      </w:pPr>
    </w:lvl>
    <w:lvl w:ilvl="6">
      <w:numFmt w:val="bullet"/>
      <w:lvlText w:val=" "/>
      <w:lvlJc w:val="left"/>
      <w:pPr>
        <w:ind w:left="5040" w:hanging="360"/>
      </w:pPr>
    </w:lvl>
    <w:lvl w:ilvl="7">
      <w:numFmt w:val="bullet"/>
      <w:lvlText w:val=" "/>
      <w:lvlJc w:val="left"/>
      <w:pPr>
        <w:ind w:left="5760" w:hanging="360"/>
      </w:pPr>
    </w:lvl>
    <w:lvl w:ilvl="8">
      <w:numFmt w:val="bullet"/>
      <w:lvlText w:val=" "/>
      <w:lvlJc w:val="left"/>
      <w:pPr>
        <w:ind w:left="6480" w:hanging="360"/>
      </w:pPr>
    </w:lvl>
  </w:abstractNum>
  <w:abstractNum w:abstractNumId="991">
    <w:nsid w:val="0000A991"/>
    <w:multiLevelType w:val="multilevel"/>
    <w:lvl w:ilvl="0"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99411">
    <w:nsid w:val="00A99411"/>
    <w:multiLevelType w:val="multilevel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lvlText w:val="%2."/>
      <w:lvlJc w:val="left"/>
      <w:pPr>
        <w:ind w:left="1440" w:hanging="360"/>
      </w:pPr>
    </w:lvl>
    <w:lvl w:ilvl="2">
      <w:start w:val="1"/>
      <w:numFmt w:val="decimal"/>
      <w:lvlText w:val="%3."/>
      <w:lvlJc w:val="left"/>
      <w:pPr>
        <w:ind w:left="2160" w:hanging="36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decimal"/>
      <w:lvlText w:val="%5."/>
      <w:lvlJc w:val="left"/>
      <w:pPr>
        <w:ind w:left="3600" w:hanging="360"/>
      </w:pPr>
    </w:lvl>
    <w:lvl w:ilvl="5">
      <w:start w:val="1"/>
      <w:numFmt w:val="decimal"/>
      <w:lvlText w:val="%6."/>
      <w:lvlJc w:val="left"/>
      <w:pPr>
        <w:ind w:left="4320" w:hanging="36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decimal"/>
      <w:lvlText w:val="%8."/>
      <w:lvlJc w:val="left"/>
      <w:pPr>
        <w:ind w:left="5760" w:hanging="360"/>
      </w:pPr>
    </w:lvl>
    <w:lvl w:ilvl="8">
      <w:start w:val="1"/>
      <w:numFmt w:val="decimal"/>
      <w:lvlText w:val="%9."/>
      <w:lvlJc w:val="left"/>
      <w:pPr>
        <w:ind w:left="6480" w:hanging="360"/>
      </w:pPr>
    </w:lvl>
  </w:abstractNum>
  <w:num w:numId="1000">
    <w:abstractNumId w:val="990"/>
  </w:num>
  <w:num w:numId="1001">
    <w:abstractNumId w:val="991"/>
  </w:num>
  <w:num w:numId="1002">
    <w:abstractNumId w:val="991"/>
  </w:num>
  <w:num w:numId="1003">
    <w:abstractNumId w:val="991"/>
  </w:num>
  <w:num w:numId="1004">
    <w:abstractNumId w:val="991"/>
  </w:num>
  <w:num w:numId="1005">
    <w:abstractNumId w:val="991"/>
  </w:num>
  <w:num w:numId="1006">
    <w:abstractNumId w:val="991"/>
  </w:num>
  <w:num w:numId="1007">
    <w:abstractNumId w:val="991"/>
  </w:num>
  <w:num w:numId="1008">
    <w:abstractNumId w:val="991"/>
  </w:num>
  <w:num w:numId="1009">
    <w:abstractNumId w:val="991"/>
  </w:num>
  <w:num w:numId="1010">
    <w:abstractNumId w:val="994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11">
    <w:abstractNumId w:val="991"/>
  </w:num>
  <w:num w:numId="1012">
    <w:abstractNumId w:val="991"/>
  </w:num>
  <w:num w:numId="1013">
    <w:abstractNumId w:val="991"/>
  </w:num>
  <w:num w:numId="1014">
    <w:abstractNumId w:val="991"/>
  </w:num>
  <w:num w:numId="1015">
    <w:abstractNumId w:val="991"/>
  </w:num>
  <w:num w:numId="1016">
    <w:abstractNumId w:val="991"/>
  </w:num>
  <w:num w:numId="1017">
    <w:abstractNumId w:val="991"/>
  </w:num>
  <w:num w:numId="1018">
    <w:abstractNumId w:val="991"/>
  </w:num>
  <w:num w:numId="1019">
    <w:abstractNumId w:val="991"/>
  </w:num>
  <w:num w:numId="1020">
    <w:abstractNumId w:val="991"/>
  </w:num>
  <w:num w:numId="1021">
    <w:abstractNumId w:val="991"/>
  </w:num>
  <w:num w:numId="1022">
    <w:abstractNumId w:val="991"/>
  </w:num>
  <w:num w:numId="1023">
    <w:abstractNumId w:val="991"/>
  </w:num>
  <w:num w:numId="1024">
    <w:abstractNumId w:val="991"/>
  </w:num>
  <w:num w:numId="1025">
    <w:abstractNumId w:val="991"/>
  </w:num>
  <w:num w:numId="1026">
    <w:abstractNumId w:val="991"/>
  </w:num>
  <w:num w:numId="1027">
    <w:abstractNumId w:val="991"/>
  </w:num>
  <w:num w:numId="1028">
    <w:abstractNumId w:val="991"/>
  </w:num>
  <w:num w:numId="1029">
    <w:abstractNumId w:val="994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30">
    <w:abstractNumId w:val="991"/>
  </w:num>
  <w:num w:numId="1031">
    <w:abstractNumId w:val="991"/>
  </w:num>
</w:numbering>
</file>

<file path=word/settings.xml><?xml version="1.0" encoding="utf-8"?>
<w:settings xmlns:m="http://schemas.openxmlformats.org/officeDocument/2006/math" xmlns:o="urn:schemas-microsoft-com:office:office" xmlns:r="http://schemas.openxmlformats.org/officeDocument/2006/relationships" xmlns:sl="http://schemas.openxmlformats.org/schemaLibrary/2006/main" xmlns:v="urn:schemas-microsoft-com:vml" xmlns:w="http://schemas.openxmlformats.org/wordprocessingml/2006/main" xmlns:w10="urn:schemas-microsoft-com:office:word">
  <w:zoom w:percent="100"/>
  <w:embedSystemFonts/>
  <w:proofState w:grammar="clean" w:spelling="clean"/>
  <w:stylePaneFormatFilter w:val="0004"/>
  <w:doNotTrackMoves/>
  <w:defaultTabStop w:val="720"/>
  <w:drawingGridHorizontalSpacing w:val="360"/>
  <w:drawingGridVerticalSpacing w:val="360"/>
  <w:displayHorizontalDrawingGridEvery w:val="0"/>
  <w:displayVerticalDrawingGridEvery w:val="0"/>
  <w:characterSpacingControl w:val="doNotCompress"/>
  <w:savePreviewPicture/>
  <w:rsids>
  </w:rsids>
  <w:themeFontLang w:val="en-US"/>
  <w:clrSchemeMapping w:accent1="accent1" w:accent2="accent2" w:accent3="accent3" w:accent4="accent4" w:accent5="accent5" w:accent6="accent6" w:bg1="light1" w:bg2="light2" w:followedHyperlink="followedHyperlink" w:hyperlink="hyperlink" w:t1="dark1" w:t2="dark2"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cstheme="minorBidi" w:eastAsiaTheme="minorEastAsia" w:hAnsiTheme="minorHAnsi"/>
        <w:sz w:val="24"/>
        <w:szCs w:val="24"/>
        <w:lang w:bidi="ar-SA" w:eastAsia="zh-CN" w:val="en-US"/>
      </w:rPr>
    </w:rPrDefault>
    <w:pPrDefault>
      <w:pPr>
        <w:spacing w:after="200"/>
      </w:pPr>
    </w:pPrDefault>
  </w:docDefaults>
  <w:latentStyles w:count="276" w:defLockedState="0" w:defQFormat="0" w:defSemiHidden="0" w:defUIPriority="0" w:defUnhideWhenUsed="0"/>
  <w:style w:default="1" w:styleId="Normal" w:type="paragraph">
    <w:name w:val="Normal"/>
    <w:qFormat/>
  </w:style>
  <w:style w:styleId="BodyText" w:type="paragraph">
    <w:name w:val="Body Text"/>
    <w:basedOn w:val="Normal"/>
    <w:link w:val="BodyTextChar"/>
    <w:qFormat/>
    <w:pPr>
      <w:spacing w:after="180" w:before="180"/>
    </w:pPr>
  </w:style>
  <w:style w:customStyle="1" w:styleId="FirstParagraph" w:type="paragraph">
    <w:name w:val="First Paragraph"/>
    <w:basedOn w:val="BodyText"/>
    <w:next w:val="BodyText"/>
    <w:qFormat/>
  </w:style>
  <w:style w:customStyle="1" w:styleId="Compact" w:type="paragraph">
    <w:name w:val="Compact"/>
    <w:basedOn w:val="BodyText"/>
    <w:qFormat/>
    <w:pPr>
      <w:spacing w:after="36" w:before="36"/>
    </w:pPr>
  </w:style>
  <w:style w:styleId="Title" w:type="paragraph">
    <w:name w:val="Title"/>
    <w:basedOn w:val="Normal"/>
    <w:next w:val="BodyText"/>
    <w:link w:val="TitleChar"/>
    <w:uiPriority w:val="10"/>
    <w:qFormat/>
    <w:rsid w:val="00A10FD9"/>
    <w:pPr>
      <w:spacing w:after="80" w:line="240" w:lineRule="auto"/>
      <w:contextualSpacing/>
      <w:jc w:val="center"/>
    </w:pPr>
    <w:rPr>
      <w:rFonts w:asciiTheme="majorHAnsi" w:cstheme="majorBidi" w:eastAsiaTheme="majorEastAsia" w:hAnsiTheme="majorHAnsi"/>
      <w:sz w:val="56"/>
      <w:szCs w:val="56"/>
    </w:rPr>
  </w:style>
  <w:style w:customStyle="1" w:styleId="TitleChar" w:type="character">
    <w:name w:val="Title Char"/>
    <w:basedOn w:val="DefaultParagraphFont"/>
    <w:link w:val="Title"/>
    <w:uiPriority w:val="10"/>
    <w:rsid w:val="00A10FD9"/>
    <w:rPr>
      <w:rFonts w:asciiTheme="majorHAnsi" w:cstheme="majorBidi" w:eastAsiaTheme="majorEastAsia" w:hAnsiTheme="majorHAnsi"/>
      <w:sz w:val="56"/>
      <w:szCs w:val="56"/>
    </w:rPr>
  </w:style>
  <w:style w:styleId="Subtitle" w:type="paragraph">
    <w:name w:val="Subtitle"/>
    <w:basedOn w:val="Title"/>
    <w:next w:val="BodyText"/>
    <w:link w:val="SubtitleChar"/>
    <w:uiPriority w:val="11"/>
    <w:qFormat/>
    <w:rsid w:val="00A10FD9"/>
    <w:pPr>
      <w:numPr>
        <w:ilvl w:val="1"/>
      </w:numPr>
    </w:pPr>
    <w:rPr>
      <w:rFonts w:cstheme="majorBidi" w:eastAsiaTheme="majorEastAsia"/>
      <w:spacing w:val="15"/>
      <w:sz w:val="28"/>
      <w:szCs w:val="28"/>
    </w:rPr>
  </w:style>
  <w:style w:customStyle="1" w:styleId="SubtitleChar" w:type="character">
    <w:name w:val="Subtitle Char"/>
    <w:basedOn w:val="DefaultParagraphFont"/>
    <w:link w:val="Subtitle"/>
    <w:uiPriority w:val="11"/>
    <w:rsid w:val="00A10FD9"/>
    <w:rPr>
      <w:rFonts w:cstheme="majorBidi" w:eastAsiaTheme="majorEastAsia"/>
      <w:color w:themeColor="text1" w:themeTint="A6" w:val="595959"/>
      <w:spacing w:val="15"/>
      <w:sz w:val="28"/>
      <w:szCs w:val="28"/>
    </w:rPr>
  </w:style>
  <w:style w:customStyle="1" w:styleId="Author" w:type="paragraph">
    <w:name w:val="Author"/>
    <w:basedOn w:val="Title"/>
    <w:next w:val="BodyText"/>
    <w:qFormat/>
    <w:pPr>
      <w:keepNext/>
      <w:keepLines/>
    </w:pPr>
    <w:rPr>
      <w:sz w:val="24"/>
      <w:szCs w:val="24"/>
    </w:rPr>
  </w:style>
  <w:style w:styleId="Date" w:type="paragraph">
    <w:name w:val="Date"/>
    <w:basedOn w:val="Title"/>
    <w:next w:val="BodyText"/>
    <w:qFormat/>
    <w:pPr>
      <w:keepNext/>
      <w:keepLines/>
    </w:pPr>
    <w:rPr>
      <w:sz w:val="24"/>
      <w:szCs w:val="24"/>
    </w:rPr>
  </w:style>
  <w:style w:customStyle="1" w:styleId="AbstractTitle" w:type="paragraph">
    <w:name w:val="Abstract Title"/>
    <w:basedOn w:val="Normal"/>
    <w:next w:val="Abstract"/>
    <w:qFormat/>
    <w:pPr>
      <w:keepNext/>
      <w:keepLines/>
      <w:spacing w:after="0" w:before="300"/>
      <w:jc w:val="center"/>
    </w:pPr>
    <w:rPr>
      <w:b/>
      <w:sz w:val="20"/>
      <w:szCs w:val="20"/>
    </w:rPr>
  </w:style>
  <w:style w:customStyle="1" w:styleId="Abstract" w:type="paragraph">
    <w:name w:val="Abstract"/>
    <w:basedOn w:val="Normal"/>
    <w:next w:val="BodyText"/>
    <w:qFormat/>
    <w:pPr>
      <w:keepNext/>
      <w:keepLines/>
      <w:spacing w:after="300" w:before="100"/>
    </w:pPr>
    <w:rPr>
      <w:sz w:val="20"/>
      <w:szCs w:val="20"/>
    </w:rPr>
  </w:style>
  <w:style w:styleId="Bibliography" w:type="paragraph">
    <w:name w:val="Bibliography"/>
    <w:basedOn w:val="Normal"/>
    <w:next w:val="Bibliography"/>
    <w:qFormat/>
    <w:pPr/>
    <w:rPr/>
  </w:style>
  <w:style w:styleId="Heading1" w:type="paragraph">
    <w:name w:val="heading 1"/>
    <w:basedOn w:val="Normal"/>
    <w:next w:val="BodyText"/>
    <w:link w:val="Heading1Char"/>
    <w:uiPriority w:val="9"/>
    <w:qFormat/>
    <w:rsid w:val="00A10FD9"/>
    <w:pPr>
      <w:keepNext/>
      <w:keepLines/>
      <w:spacing w:after="80" w:before="360"/>
      <w:outlineLvl w:val="0"/>
    </w:pPr>
    <w:rPr>
      <w:rFonts w:asciiTheme="majorHAnsi" w:cstheme="majorBidi" w:eastAsiaTheme="majorEastAsia" w:hAnsiTheme="majorHAnsi"/>
      <w:color w:themeColor="accent1" w:themeShade="BF" w:val="0F4761"/>
      <w:sz w:val="40"/>
      <w:szCs w:val="40"/>
    </w:rPr>
  </w:style>
  <w:style w:styleId="Heading2" w:type="paragraph">
    <w:name w:val="heading 2"/>
    <w:basedOn w:val="Normal"/>
    <w:next w:val="BodyText"/>
    <w:link w:val="Heading2Char"/>
    <w:uiPriority w:val="9"/>
    <w:semiHidden/>
    <w:unhideWhenUsed/>
    <w:qFormat/>
    <w:rsid w:val="00A10FD9"/>
    <w:pPr>
      <w:keepNext/>
      <w:keepLines/>
      <w:spacing w:after="80" w:before="160"/>
      <w:outlineLvl w:val="1"/>
    </w:pPr>
    <w:rPr>
      <w:rFonts w:asciiTheme="majorHAnsi" w:cstheme="majorBidi" w:eastAsiaTheme="majorEastAsia" w:hAnsiTheme="majorHAnsi"/>
      <w:color w:themeColor="accent1" w:themeShade="BF" w:val="0F4761"/>
      <w:sz w:val="32"/>
      <w:szCs w:val="32"/>
    </w:rPr>
  </w:style>
  <w:style w:styleId="Heading3" w:type="paragraph">
    <w:name w:val="heading 3"/>
    <w:basedOn w:val="Normal"/>
    <w:next w:val="BodyText"/>
    <w:link w:val="Heading3Char"/>
    <w:uiPriority w:val="9"/>
    <w:semiHidden/>
    <w:unhideWhenUsed/>
    <w:qFormat/>
    <w:rsid w:val="00A10FD9"/>
    <w:pPr>
      <w:keepNext/>
      <w:keepLines/>
      <w:spacing w:after="80" w:before="160"/>
      <w:outlineLvl w:val="2"/>
    </w:pPr>
    <w:rPr>
      <w:rFonts w:cstheme="majorBidi" w:eastAsiaTheme="majorEastAsia"/>
      <w:color w:themeColor="accent1" w:themeShade="BF" w:val="0F4761"/>
      <w:sz w:val="28"/>
      <w:szCs w:val="28"/>
    </w:rPr>
  </w:style>
  <w:style w:styleId="Heading4" w:type="paragraph">
    <w:name w:val="heading 4"/>
    <w:basedOn w:val="Normal"/>
    <w:next w:val="BodyText"/>
    <w:link w:val="Heading4Char"/>
    <w:uiPriority w:val="9"/>
    <w:semiHidden/>
    <w:unhideWhenUsed/>
    <w:qFormat/>
    <w:rsid w:val="00A10FD9"/>
    <w:pPr>
      <w:keepNext/>
      <w:keepLines/>
      <w:spacing w:after="40" w:before="80"/>
      <w:outlineLvl w:val="3"/>
    </w:pPr>
    <w:rPr>
      <w:rFonts w:cstheme="majorBidi" w:eastAsiaTheme="majorEastAsia"/>
      <w:i/>
      <w:iCs/>
      <w:color w:themeColor="accent1" w:themeShade="BF" w:val="0F4761"/>
    </w:rPr>
  </w:style>
  <w:style w:styleId="Heading5" w:type="paragraph">
    <w:name w:val="heading 5"/>
    <w:basedOn w:val="Normal"/>
    <w:next w:val="BodyText"/>
    <w:link w:val="Heading5Char"/>
    <w:uiPriority w:val="9"/>
    <w:semiHidden/>
    <w:unhideWhenUsed/>
    <w:qFormat/>
    <w:rsid w:val="00A10FD9"/>
    <w:pPr>
      <w:keepNext/>
      <w:keepLines/>
      <w:spacing w:after="40" w:before="80"/>
      <w:outlineLvl w:val="4"/>
    </w:pPr>
    <w:rPr>
      <w:rFonts w:cstheme="majorBidi" w:eastAsiaTheme="majorEastAsia"/>
      <w:color w:themeColor="accent1" w:themeShade="BF" w:val="0F4761"/>
    </w:rPr>
  </w:style>
  <w:style w:styleId="Heading6" w:type="paragraph">
    <w:name w:val="heading 6"/>
    <w:basedOn w:val="Normal"/>
    <w:next w:val="BodyText"/>
    <w:link w:val="Heading6Char"/>
    <w:uiPriority w:val="9"/>
    <w:semiHidden/>
    <w:unhideWhenUsed/>
    <w:qFormat/>
    <w:rsid w:val="00A10FD9"/>
    <w:pPr>
      <w:keepNext/>
      <w:keepLines/>
      <w:spacing w:after="0" w:before="40"/>
      <w:outlineLvl w:val="5"/>
    </w:pPr>
    <w:rPr>
      <w:rFonts w:cstheme="majorBidi" w:eastAsiaTheme="majorEastAsia"/>
      <w:i/>
      <w:iCs/>
      <w:color w:themeColor="text1" w:themeTint="A6" w:val="595959"/>
    </w:rPr>
  </w:style>
  <w:style w:styleId="Heading7" w:type="paragraph">
    <w:name w:val="heading 7"/>
    <w:basedOn w:val="Normal"/>
    <w:next w:val="BodyText"/>
    <w:link w:val="Heading7Char"/>
    <w:uiPriority w:val="9"/>
    <w:semiHidden/>
    <w:unhideWhenUsed/>
    <w:qFormat/>
    <w:rsid w:val="00A10FD9"/>
    <w:pPr>
      <w:keepNext/>
      <w:keepLines/>
      <w:spacing w:after="0" w:before="40"/>
      <w:outlineLvl w:val="6"/>
    </w:pPr>
    <w:rPr>
      <w:rFonts w:cstheme="majorBidi" w:eastAsiaTheme="majorEastAsia"/>
      <w:color w:themeColor="text1" w:themeTint="A6" w:val="595959"/>
    </w:rPr>
  </w:style>
  <w:style w:styleId="Heading8" w:type="paragraph">
    <w:name w:val="heading 8"/>
    <w:basedOn w:val="Normal"/>
    <w:next w:val="BodyText"/>
    <w:link w:val="Heading8Char"/>
    <w:uiPriority w:val="9"/>
    <w:semiHidden/>
    <w:unhideWhenUsed/>
    <w:qFormat/>
    <w:rsid w:val="00A10FD9"/>
    <w:pPr>
      <w:keepNext/>
      <w:keepLines/>
      <w:spacing w:after="0"/>
      <w:outlineLvl w:val="7"/>
    </w:pPr>
    <w:rPr>
      <w:rFonts w:cstheme="majorBidi" w:eastAsiaTheme="majorEastAsia"/>
      <w:i/>
      <w:iCs/>
      <w:color w:themeColor="text1" w:themeTint="D8" w:val="272727"/>
    </w:rPr>
  </w:style>
  <w:style w:styleId="Heading9" w:type="paragraph">
    <w:name w:val="heading 9"/>
    <w:basedOn w:val="Normal"/>
    <w:next w:val="BodyText"/>
    <w:link w:val="Heading9Char"/>
    <w:uiPriority w:val="9"/>
    <w:semiHidden/>
    <w:unhideWhenUsed/>
    <w:qFormat/>
    <w:rsid w:val="00A10FD9"/>
    <w:pPr>
      <w:keepNext/>
      <w:keepLines/>
      <w:spacing w:after="0"/>
      <w:outlineLvl w:val="8"/>
    </w:pPr>
    <w:rPr>
      <w:rFonts w:cstheme="majorBidi" w:eastAsiaTheme="majorEastAsia"/>
      <w:color w:themeColor="text1" w:themeTint="D8" w:val="272727"/>
    </w:rPr>
  </w:style>
  <w:style w:customStyle="1" w:styleId="Heading1Char" w:type="character">
    <w:name w:val="Heading 1 Char"/>
    <w:basedOn w:val="DefaultParagraphFont"/>
    <w:link w:val="Heading1"/>
    <w:uiPriority w:val="9"/>
    <w:rsid w:val="00A10FD9"/>
    <w:rPr>
      <w:rFonts w:asciiTheme="majorHAnsi" w:cstheme="majorBidi" w:eastAsiaTheme="majorEastAsia" w:hAnsiTheme="majorHAnsi"/>
      <w:color w:themeColor="accent1" w:themeShade="BF" w:val="0F4761"/>
      <w:sz w:val="40"/>
      <w:szCs w:val="40"/>
    </w:rPr>
  </w:style>
  <w:style w:customStyle="1" w:styleId="Heading2Char" w:type="character">
    <w:name w:val="Heading 2 Char"/>
    <w:basedOn w:val="DefaultParagraphFont"/>
    <w:link w:val="Heading2"/>
    <w:uiPriority w:val="9"/>
    <w:semiHidden/>
    <w:rsid w:val="00A10FD9"/>
    <w:rPr>
      <w:rFonts w:asciiTheme="majorHAnsi" w:cstheme="majorBidi" w:eastAsiaTheme="majorEastAsia" w:hAnsiTheme="majorHAnsi"/>
      <w:color w:themeColor="accent1" w:themeShade="BF" w:val="0F4761"/>
      <w:sz w:val="32"/>
      <w:szCs w:val="32"/>
    </w:rPr>
  </w:style>
  <w:style w:customStyle="1" w:styleId="Heading3Char" w:type="character">
    <w:name w:val="Heading 3 Char"/>
    <w:basedOn w:val="DefaultParagraphFont"/>
    <w:link w:val="Heading3"/>
    <w:uiPriority w:val="9"/>
    <w:semiHidden/>
    <w:rsid w:val="00A10FD9"/>
    <w:rPr>
      <w:rFonts w:cstheme="majorBidi" w:eastAsiaTheme="majorEastAsia"/>
      <w:color w:themeColor="accent1" w:themeShade="BF" w:val="0F4761"/>
      <w:sz w:val="28"/>
      <w:szCs w:val="28"/>
    </w:rPr>
  </w:style>
  <w:style w:customStyle="1" w:styleId="Heading4Char" w:type="character">
    <w:name w:val="Heading 4 Char"/>
    <w:basedOn w:val="DefaultParagraphFont"/>
    <w:link w:val="Heading4"/>
    <w:uiPriority w:val="9"/>
    <w:semiHidden/>
    <w:rsid w:val="00A10FD9"/>
    <w:rPr>
      <w:rFonts w:cstheme="majorBidi" w:eastAsiaTheme="majorEastAsia"/>
      <w:i/>
      <w:iCs/>
      <w:color w:themeColor="accent1" w:themeShade="BF" w:val="0F4761"/>
    </w:rPr>
  </w:style>
  <w:style w:customStyle="1" w:styleId="Heading5Char" w:type="character">
    <w:name w:val="Heading 5 Char"/>
    <w:basedOn w:val="DefaultParagraphFont"/>
    <w:link w:val="Heading5"/>
    <w:uiPriority w:val="9"/>
    <w:semiHidden/>
    <w:rsid w:val="00A10FD9"/>
    <w:rPr>
      <w:rFonts w:cstheme="majorBidi" w:eastAsiaTheme="majorEastAsia"/>
      <w:color w:themeColor="accent1" w:themeShade="BF" w:val="0F4761"/>
    </w:rPr>
  </w:style>
  <w:style w:customStyle="1" w:styleId="Heading6Char" w:type="character">
    <w:name w:val="Heading 6 Char"/>
    <w:basedOn w:val="DefaultParagraphFont"/>
    <w:link w:val="Heading6"/>
    <w:uiPriority w:val="9"/>
    <w:semiHidden/>
    <w:rsid w:val="00A10FD9"/>
    <w:rPr>
      <w:rFonts w:cstheme="majorBidi" w:eastAsiaTheme="majorEastAsia"/>
      <w:i/>
      <w:iCs/>
      <w:color w:themeColor="text1" w:themeTint="A6" w:val="595959"/>
    </w:rPr>
  </w:style>
  <w:style w:customStyle="1" w:styleId="Heading7Char" w:type="character">
    <w:name w:val="Heading 7 Char"/>
    <w:basedOn w:val="DefaultParagraphFont"/>
    <w:link w:val="Heading7"/>
    <w:uiPriority w:val="9"/>
    <w:semiHidden/>
    <w:rsid w:val="00A10FD9"/>
    <w:rPr>
      <w:rFonts w:cstheme="majorBidi" w:eastAsiaTheme="majorEastAsia"/>
      <w:color w:themeColor="text1" w:themeTint="A6" w:val="595959"/>
    </w:rPr>
  </w:style>
  <w:style w:customStyle="1" w:styleId="Heading8Char" w:type="character">
    <w:name w:val="Heading 8 Char"/>
    <w:basedOn w:val="DefaultParagraphFont"/>
    <w:link w:val="Heading8"/>
    <w:uiPriority w:val="9"/>
    <w:semiHidden/>
    <w:rsid w:val="00A10FD9"/>
    <w:rPr>
      <w:rFonts w:cstheme="majorBidi" w:eastAsiaTheme="majorEastAsia"/>
      <w:i/>
      <w:iCs/>
      <w:color w:themeColor="text1" w:themeTint="D8" w:val="272727"/>
    </w:rPr>
  </w:style>
  <w:style w:customStyle="1" w:styleId="Heading9Char" w:type="character">
    <w:name w:val="Heading 9 Char"/>
    <w:basedOn w:val="DefaultParagraphFont"/>
    <w:link w:val="Heading9"/>
    <w:uiPriority w:val="9"/>
    <w:semiHidden/>
    <w:rsid w:val="00A10FD9"/>
    <w:rPr>
      <w:rFonts w:cstheme="majorBidi" w:eastAsiaTheme="majorEastAsia"/>
      <w:color w:themeColor="text1" w:themeTint="D8" w:val="272727"/>
    </w:rPr>
  </w:style>
  <w:style w:styleId="BlockText" w:type="paragraph">
    <w:name w:val="Block Text"/>
    <w:basedOn w:val="BodyText"/>
    <w:next w:val="BodyText"/>
    <w:uiPriority w:val="9"/>
    <w:unhideWhenUsed/>
    <w:qFormat/>
    <w:pPr>
      <w:spacing w:after="100" w:before="100"/>
      <w:ind w:firstLine="0" w:left="480" w:right="480"/>
    </w:pPr>
  </w:style>
  <w:style w:styleId="FootnoteText" w:type="paragraph">
    <w:name w:val="Footnote Text"/>
    <w:basedOn w:val="Normal"/>
    <w:next w:val="FootnoteText"/>
    <w:uiPriority w:val="9"/>
    <w:unhideWhenUsed/>
    <w:qFormat/>
  </w:style>
  <w:style w:styleId="FootnoteBlockText" w:type="paragraph">
    <w:name w:val="Footnote Block Text"/>
    <w:basedOn w:val="FootnoteText"/>
    <w:next w:val="FootnoteText"/>
    <w:uiPriority w:val="9"/>
    <w:unhideWhenUsed/>
    <w:qFormat/>
    <w:pPr>
      <w:spacing w:after="100" w:before="100"/>
      <w:ind w:firstLine="0" w:left="480" w:right="480"/>
    </w:pPr>
  </w:style>
  <w:style w:default="1" w:styleId="DefaultParagraphFont" w:type="character">
    <w:name w:val="Default Paragraph Font"/>
    <w:semiHidden/>
    <w:unhideWhenUsed/>
  </w:style>
  <w:style w:default="1" w:styleId="Table" w:type="table">
    <w:name w:val="Table"/>
    <w:basedOn w:val="TableNormal"/>
    <w:semiHidden/>
    <w:unhideWhenUsed/>
    <w:qFormat/>
    <w:tblPr>
      <w:tblInd w:type="dxa" w:w="0"/>
      <w:tblCellMar>
        <w:top w:type="dxa" w:w="0"/>
        <w:left w:type="dxa" w:w="108"/>
        <w:bottom w:type="dxa" w:w="0"/>
        <w:right w:type="dxa" w:w="108"/>
      </w:tblCellMar>
    </w:tblPr>
    <w:tblStylePr w:type="firstRow">
      <w:tcPr>
        <w:tcBorders>
          <w:bottom w:val="single"/>
        </w:tcBorders>
        <w:vAlign w:val="bottom"/>
      </w:tcPr>
    </w:tblStylePr>
  </w:style>
  <w:style w:customStyle="1" w:styleId="DefinitionTerm" w:type="paragraph">
    <w:name w:val="Definition Term"/>
    <w:basedOn w:val="Normal"/>
    <w:next w:val="Definition"/>
    <w:pPr>
      <w:keepNext/>
      <w:keepLines/>
      <w:spacing w:after="0"/>
    </w:pPr>
    <w:rPr>
      <w:b/>
    </w:rPr>
  </w:style>
  <w:style w:customStyle="1" w:styleId="Definition" w:type="paragraph">
    <w:name w:val="Definition"/>
    <w:basedOn w:val="Normal"/>
  </w:style>
  <w:style w:styleId="Caption" w:type="paragraph">
    <w:name w:val="Caption"/>
    <w:basedOn w:val="Normal"/>
    <w:link w:val="BodyTextChar"/>
    <w:pPr>
      <w:spacing w:after="120" w:before="0"/>
    </w:pPr>
    <w:rPr>
      <w:i/>
    </w:rPr>
  </w:style>
  <w:style w:customStyle="1" w:styleId="TableCaption" w:type="paragraph">
    <w:name w:val="Table Caption"/>
    <w:basedOn w:val="Caption"/>
    <w:pPr>
      <w:keepNext/>
    </w:pPr>
  </w:style>
  <w:style w:customStyle="1" w:styleId="ImageCaption" w:type="paragraph">
    <w:name w:val="Image Caption"/>
    <w:basedOn w:val="Caption"/>
  </w:style>
  <w:style w:customStyle="1" w:styleId="Figure" w:type="paragraph">
    <w:name w:val="Figure"/>
    <w:basedOn w:val="Normal"/>
  </w:style>
  <w:style w:customStyle="1" w:styleId="CaptionedFigure" w:type="paragraph">
    <w:name w:val="Captioned Figure"/>
    <w:basedOn w:val="Figure"/>
    <w:pPr>
      <w:keepNext/>
    </w:pPr>
  </w:style>
  <w:style w:customStyle="1" w:styleId="BodyTextChar" w:type="character">
    <w:name w:val="Body Text Char"/>
    <w:basedOn w:val="DefaultParagraphFont"/>
    <w:link w:val="BodyText"/>
  </w:style>
  <w:style w:customStyle="1" w:styleId="VerbatimChar" w:type="character">
    <w:name w:val="Verbatim Char"/>
    <w:basedOn w:val="BodyTextChar"/>
    <w:rPr>
      <w:rFonts w:ascii="Consolas" w:hAnsi="Consolas"/>
      <w:sz w:val="22"/>
    </w:rPr>
  </w:style>
  <w:style w:customStyle="1" w:styleId="SectionNumber" w:type="character">
    <w:name w:val="Section Number"/>
    <w:basedOn w:val="BodyTextChar"/>
  </w:style>
  <w:style w:styleId="FootnoteReference" w:type="character">
    <w:name w:val="Footnote Reference"/>
    <w:basedOn w:val="BodyTextChar"/>
    <w:rPr>
      <w:vertAlign w:val="superscript"/>
    </w:rPr>
  </w:style>
  <w:style w:styleId="Hyperlink" w:type="character">
    <w:name w:val="Hyperlink"/>
    <w:basedOn w:val="BodyTextChar"/>
    <w:rPr>
      <w:color w:themeColor="accent1" w:val="4F81BD"/>
    </w:rPr>
  </w:style>
  <w:style w:styleId="TOCHeading" w:type="paragraph">
    <w:name w:val="TOC Heading"/>
    <w:basedOn w:val="Heading1"/>
    <w:next w:val="BodyText"/>
    <w:uiPriority w:val="39"/>
    <w:unhideWhenUsed/>
    <w:qFormat/>
    <w:pPr>
      <w:spacing w:before="240" w:line="259" w:lineRule="auto"/>
      <w:outlineLvl w:val="9"/>
    </w:pPr>
    <w:rPr>
      <w:rFonts w:asciiTheme="majorHAnsi" w:cstheme="majorBidi" w:eastAsiaTheme="majorEastAsia" w:hAnsiTheme="majorHAnsi"/>
      <w:b w:val="0"/>
      <w:bCs w:val="0"/>
      <w:color w:themeColor="accent1" w:themeShade="BF" w:val="365F91"/>
    </w:rPr>
  </w:style>
  <w:style w:type="paragraph" w:customStyle="1" w:styleId="SourceCode">
    <w:name w:val="Source Code"/>
    <w:basedOn w:val="Normal"/>
    <w:link w:val="VerbatimChar"/>
    <w:pPr>
      <w:wordWrap w:val="off"/>
    </w:pPr>
  </w:style>
  <w:style w:type="character" w:customStyle="1" w:styleId="KeywordTok">
    <w:name w:val="KeywordTok"/>
    <w:basedOn w:val="VerbatimChar"/>
    <w:rPr>
      <w:b/>
      <w:color w:val="007020"/>
    </w:rPr>
  </w:style>
  <w:style w:type="character" w:customStyle="1" w:styleId="DataTypeTok">
    <w:name w:val="DataTypeTok"/>
    <w:basedOn w:val="VerbatimChar"/>
    <w:rPr>
      <w:color w:val="902000"/>
    </w:rPr>
  </w:style>
  <w:style w:type="character" w:customStyle="1" w:styleId="DecValTok">
    <w:name w:val="DecValTok"/>
    <w:basedOn w:val="VerbatimChar"/>
    <w:rPr>
      <w:color w:val="40a070"/>
    </w:rPr>
  </w:style>
  <w:style w:type="character" w:customStyle="1" w:styleId="BaseNTok">
    <w:name w:val="BaseNTok"/>
    <w:basedOn w:val="VerbatimChar"/>
    <w:rPr>
      <w:color w:val="40a070"/>
    </w:rPr>
  </w:style>
  <w:style w:type="character" w:customStyle="1" w:styleId="FloatTok">
    <w:name w:val="FloatTok"/>
    <w:basedOn w:val="VerbatimChar"/>
    <w:rPr>
      <w:color w:val="40a070"/>
    </w:rPr>
  </w:style>
  <w:style w:type="character" w:customStyle="1" w:styleId="ConstantTok">
    <w:name w:val="ConstantTok"/>
    <w:basedOn w:val="VerbatimChar"/>
    <w:rPr>
      <w:color w:val="880000"/>
    </w:rPr>
  </w:style>
  <w:style w:type="character" w:customStyle="1" w:styleId="CharTok">
    <w:name w:val="CharTok"/>
    <w:basedOn w:val="VerbatimChar"/>
    <w:rPr>
      <w:color w:val="4070a0"/>
    </w:rPr>
  </w:style>
  <w:style w:type="character" w:customStyle="1" w:styleId="SpecialCharTok">
    <w:name w:val="SpecialCharTok"/>
    <w:basedOn w:val="VerbatimChar"/>
    <w:rPr>
      <w:color w:val="4070a0"/>
    </w:rPr>
  </w:style>
  <w:style w:type="character" w:customStyle="1" w:styleId="StringTok">
    <w:name w:val="StringTok"/>
    <w:basedOn w:val="VerbatimChar"/>
    <w:rPr>
      <w:color w:val="4070a0"/>
    </w:rPr>
  </w:style>
  <w:style w:type="character" w:customStyle="1" w:styleId="VerbatimStringTok">
    <w:name w:val="VerbatimStringTok"/>
    <w:basedOn w:val="VerbatimChar"/>
    <w:rPr>
      <w:color w:val="4070a0"/>
    </w:rPr>
  </w:style>
  <w:style w:type="character" w:customStyle="1" w:styleId="SpecialStringTok">
    <w:name w:val="SpecialStringTok"/>
    <w:basedOn w:val="VerbatimChar"/>
    <w:rPr>
      <w:color w:val="bb6688"/>
    </w:rPr>
  </w:style>
  <w:style w:type="character" w:customStyle="1" w:styleId="ImportTok">
    <w:name w:val="ImportTok"/>
    <w:basedOn w:val="VerbatimChar"/>
    <w:rPr>
      <w:b/>
      <w:color w:val="008000"/>
    </w:rPr>
  </w:style>
  <w:style w:type="character" w:customStyle="1" w:styleId="CommentTok">
    <w:name w:val="CommentTok"/>
    <w:basedOn w:val="VerbatimChar"/>
    <w:rPr>
      <w:i/>
      <w:color w:val="60a0b0"/>
    </w:rPr>
  </w:style>
  <w:style w:type="character" w:customStyle="1" w:styleId="DocumentationTok">
    <w:name w:val="DocumentationTok"/>
    <w:basedOn w:val="VerbatimChar"/>
    <w:rPr>
      <w:i/>
      <w:color w:val="ba2121"/>
    </w:rPr>
  </w:style>
  <w:style w:type="character" w:customStyle="1" w:styleId="AnnotationTok">
    <w:name w:val="AnnotationTok"/>
    <w:basedOn w:val="VerbatimChar"/>
    <w:rPr>
      <w:b/>
      <w:i/>
      <w:color w:val="60a0b0"/>
    </w:rPr>
  </w:style>
  <w:style w:type="character" w:customStyle="1" w:styleId="CommentVarTok">
    <w:name w:val="CommentVarTok"/>
    <w:basedOn w:val="VerbatimChar"/>
    <w:rPr>
      <w:b/>
      <w:i/>
      <w:color w:val="60a0b0"/>
    </w:rPr>
  </w:style>
  <w:style w:type="character" w:customStyle="1" w:styleId="OtherTok">
    <w:name w:val="OtherTok"/>
    <w:basedOn w:val="VerbatimChar"/>
    <w:rPr>
      <w:color w:val="007020"/>
    </w:rPr>
  </w:style>
  <w:style w:type="character" w:customStyle="1" w:styleId="FunctionTok">
    <w:name w:val="FunctionTok"/>
    <w:basedOn w:val="VerbatimChar"/>
    <w:rPr>
      <w:color w:val="06287e"/>
    </w:rPr>
  </w:style>
  <w:style w:type="character" w:customStyle="1" w:styleId="VariableTok">
    <w:name w:val="VariableTok"/>
    <w:basedOn w:val="VerbatimChar"/>
    <w:rPr>
      <w:color w:val="19177c"/>
    </w:rPr>
  </w:style>
  <w:style w:type="character" w:customStyle="1" w:styleId="ControlFlowTok">
    <w:name w:val="ControlFlowTok"/>
    <w:basedOn w:val="VerbatimChar"/>
    <w:rPr>
      <w:b/>
      <w:color w:val="007020"/>
    </w:rPr>
  </w:style>
  <w:style w:type="character" w:customStyle="1" w:styleId="OperatorTok">
    <w:name w:val="OperatorTok"/>
    <w:basedOn w:val="VerbatimChar"/>
    <w:rPr>
      <w:color w:val="666666"/>
    </w:rPr>
  </w:style>
  <w:style w:type="character" w:customStyle="1" w:styleId="BuiltInTok">
    <w:name w:val="BuiltInTok"/>
    <w:basedOn w:val="VerbatimChar"/>
    <w:rPr>
      <w:color w:val="008000"/>
    </w:rPr>
  </w:style>
  <w:style w:type="character" w:customStyle="1" w:styleId="ExtensionTok">
    <w:name w:val="ExtensionTok"/>
    <w:basedOn w:val="VerbatimChar"/>
    <w:rPr/>
  </w:style>
  <w:style w:type="character" w:customStyle="1" w:styleId="PreprocessorTok">
    <w:name w:val="PreprocessorTok"/>
    <w:basedOn w:val="VerbatimChar"/>
    <w:rPr>
      <w:color w:val="bc7a00"/>
    </w:rPr>
  </w:style>
  <w:style w:type="character" w:customStyle="1" w:styleId="AttributeTok">
    <w:name w:val="AttributeTok"/>
    <w:basedOn w:val="VerbatimChar"/>
    <w:rPr>
      <w:color w:val="7d9029"/>
    </w:rPr>
  </w:style>
  <w:style w:type="character" w:customStyle="1" w:styleId="RegionMarkerTok">
    <w:name w:val="RegionMarkerTok"/>
    <w:basedOn w:val="VerbatimChar"/>
    <w:rPr/>
  </w:style>
  <w:style w:type="character" w:customStyle="1" w:styleId="InformationTok">
    <w:name w:val="InformationTok"/>
    <w:basedOn w:val="VerbatimChar"/>
    <w:rPr>
      <w:b/>
      <w:i/>
      <w:color w:val="60a0b0"/>
    </w:rPr>
  </w:style>
  <w:style w:type="character" w:customStyle="1" w:styleId="WarningTok">
    <w:name w:val="WarningTok"/>
    <w:basedOn w:val="VerbatimChar"/>
    <w:rPr>
      <w:b/>
      <w:i/>
      <w:color w:val="60a0b0"/>
    </w:rPr>
  </w:style>
  <w:style w:type="character" w:customStyle="1" w:styleId="AlertTok">
    <w:name w:val="AlertTok"/>
    <w:basedOn w:val="VerbatimChar"/>
    <w:rPr>
      <w:b/>
      <w:color w:val="ff0000"/>
    </w:rPr>
  </w:style>
  <w:style w:type="character" w:customStyle="1" w:styleId="ErrorTok">
    <w:name w:val="ErrorTok"/>
    <w:basedOn w:val="VerbatimChar"/>
    <w:rPr>
      <w:b/>
      <w:color w:val="ff0000"/>
    </w:rPr>
  </w:style>
  <w:style w:type="character" w:customStyle="1" w:styleId="NormalTok">
    <w:name w:val="NormalTok"/>
    <w:basedOn w:val="VerbatimChar"/>
    <w:rPr/>
  </w:style>
</w:styles>
</file>

<file path=word/webSettings.xml><?xml version="1.0" encoding="utf-8"?>
<ns0:webSettings xmlns:ns0="http://schemas.openxmlformats.org/wordprocessingml/2006/main">
  <ns0:allowPNG/>
  <ns0:doNotSaveAsSingleFile/>
</ns0:webSettings>
</file>

<file path=word/_rels/document.xml.rels><?xml version="1.0" encoding="UTF-8"?><Relationships xmlns="http://schemas.openxmlformats.org/package/2006/relationships"><Relationship Type="http://schemas.openxmlformats.org/officeDocument/2006/relationships/numbering" Id="rId8" Target="numbering.xml" /><Relationship Type="http://schemas.openxmlformats.org/officeDocument/2006/relationships/styles" Id="rId7" Target="styles.xml" /><Relationship Type="http://schemas.openxmlformats.org/officeDocument/2006/relationships/settings" Id="rId6" Target="settings.xml" /><Relationship Type="http://schemas.openxmlformats.org/officeDocument/2006/relationships/webSettings" Id="rId5" Target="webSettings.xml" /><Relationship Type="http://schemas.openxmlformats.org/officeDocument/2006/relationships/fontTable" Id="rId4" Target="fontTable.xml" /><Relationship Type="http://schemas.openxmlformats.org/officeDocument/2006/relationships/theme" Id="rId3" Target="theme/theme1.xml" /><Relationship Type="http://schemas.openxmlformats.org/officeDocument/2006/relationships/footnotes" Id="rId2" Target="footnotes.xml" /><Relationship Type="http://schemas.openxmlformats.org/officeDocument/2006/relationships/comments" Id="rId1" Target="comments.xml" /><Relationship Type="http://schemas.openxmlformats.org/officeDocument/2006/relationships/hyperlink" Id="rId39" Target="/C:/Scripts/axiom.analysis/doc/INVESTMENT_ANALYSIS_PROMPT_2026-04-12.txt" TargetMode="External" /></Relationships>
</file>

<file path=word/_rels/footnotes.xml.rels><?xml version="1.0" encoding="UTF-8"?><Relationships xmlns="http://schemas.openxmlformats.org/package/2006/relationships"><Relationship Type="http://schemas.openxmlformats.org/officeDocument/2006/relationships/hyperlink" Id="rId39" Target="/C:/Scripts/axiom.analysis/doc/INVESTMENT_ANALYSIS_PROMPT_2026-04-12.txt" TargetMode="Externa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Words>83</Words>
  <SharedDoc>false</SharedDoc>
  <HyperlinksChanged>false</HyperlinksChanged>
  <Lines>12</Lines>
  <AppVersion>12.0000</AppVersion>
  <LinksUpToDate>false</LinksUpToDate>
  <Application>Microsoft Word 12.0.0</Application>
  <CharactersWithSpaces>583</CharactersWithSpaces>
  <Template>Normal.dotm</Template>
  <DocSecurity>0</DocSecurity>
  <TotalTime>6</TotalTime>
  <ScaleCrop>false</ScaleCrop>
  <Characters>475</Characters>
  <Paragraphs>8</Paragraphs>
  <Pages>1</Page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/>
  <cp:keywords/>
  <dcterms:created xsi:type="dcterms:W3CDTF">2026-04-12T11:31:25Z</dcterms:created>
  <dcterms:modified xsi:type="dcterms:W3CDTF">2026-04-12T11:31:25Z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