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axiom-analysis"/>
    <w:p>
      <w:pPr>
        <w:pStyle w:val="Heading1"/>
      </w:pPr>
      <w:r>
        <w:t xml:space="preserve">AXIOM Analysis</w:t>
      </w:r>
    </w:p>
    <w:bookmarkStart w:id="9" w:name="law-analysis-guide"/>
    <w:p>
      <w:pPr>
        <w:pStyle w:val="Heading2"/>
      </w:pPr>
      <w:r>
        <w:t xml:space="preserve">Law Analysis Guide</w:t>
      </w:r>
    </w:p>
    <w:p>
      <w:pPr>
        <w:pStyle w:val="FirstParagraph"/>
      </w:pPr>
      <w:r>
        <w:t xml:space="preserve">Version 1.0 | April 12, 2026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Use the Law domain when you want AXIOM to review legal text for ambiguity, clause interaction, inconsistency, exposure, weak support, and missing inputs.</w:t>
      </w:r>
    </w:p>
    <w:p>
      <w:pPr>
        <w:pStyle w:val="BodyText"/>
      </w:pPr>
      <w:r>
        <w:t xml:space="preserve">This workflow is strongest when the material clearly includes:</w:t>
      </w:r>
    </w:p>
    <w:p>
      <w:pPr>
        <w:pStyle w:val="Compact"/>
        <w:numPr>
          <w:ilvl w:val="0"/>
          <w:numId w:val="1001"/>
        </w:numPr>
      </w:pPr>
      <w:r>
        <w:t xml:space="preserve">the legal text or filing text itself</w:t>
      </w:r>
    </w:p>
    <w:p>
      <w:pPr>
        <w:pStyle w:val="Compact"/>
        <w:numPr>
          <w:ilvl w:val="0"/>
          <w:numId w:val="1001"/>
        </w:numPr>
      </w:pPr>
      <w:r>
        <w:t xml:space="preserve">the governing context</w:t>
      </w:r>
    </w:p>
    <w:p>
      <w:pPr>
        <w:pStyle w:val="Compact"/>
        <w:numPr>
          <w:ilvl w:val="0"/>
          <w:numId w:val="1001"/>
        </w:numPr>
      </w:pPr>
      <w:r>
        <w:t xml:space="preserve">the disputed or important point</w:t>
      </w:r>
    </w:p>
    <w:p>
      <w:pPr>
        <w:pStyle w:val="Compact"/>
        <w:numPr>
          <w:ilvl w:val="0"/>
          <w:numId w:val="1001"/>
        </w:numPr>
      </w:pPr>
      <w:r>
        <w:t xml:space="preserve">the known facts</w:t>
      </w:r>
    </w:p>
    <w:p>
      <w:pPr>
        <w:pStyle w:val="Compact"/>
        <w:numPr>
          <w:ilvl w:val="0"/>
          <w:numId w:val="1001"/>
        </w:numPr>
      </w:pPr>
      <w:r>
        <w:t xml:space="preserve">what decision the review should support</w:t>
      </w:r>
    </w:p>
    <w:p>
      <w:r>
        <w:pict>
          <v:rect style="width:0;height:1.5pt" o:hralign="center" o:hrstd="t" o:hr="t"/>
        </w:pict>
      </w:r>
    </w:p>
    <w:bookmarkEnd w:id="10"/>
    <w:bookmarkStart w:id="14" w:name="best-starting-settings"/>
    <w:p>
      <w:pPr>
        <w:pStyle w:val="Heading2"/>
      </w:pPr>
      <w:r>
        <w:t xml:space="preserve">Best Starting Settings</w:t>
      </w:r>
    </w:p>
    <w:bookmarkStart w:id="11" w:name="review-of-legal-text"/>
    <w:p>
      <w:pPr>
        <w:pStyle w:val="Heading3"/>
      </w:pPr>
      <w:r>
        <w:t xml:space="preserve">Review of legal text</w:t>
      </w:r>
    </w:p>
    <w:p>
      <w:pPr>
        <w:pStyle w:val="Compact"/>
        <w:numPr>
          <w:ilvl w:val="0"/>
          <w:numId w:val="1002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Law</w:t>
      </w:r>
    </w:p>
    <w:p>
      <w:pPr>
        <w:pStyle w:val="Compact"/>
        <w:numPr>
          <w:ilvl w:val="0"/>
          <w:numId w:val="1002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</w:p>
    <w:p>
      <w:pPr>
        <w:pStyle w:val="Compact"/>
        <w:numPr>
          <w:ilvl w:val="0"/>
          <w:numId w:val="1002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2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2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bookmarkEnd w:id="11"/>
    <w:bookmarkStart w:id="12" w:name="risk-focused-legal-review"/>
    <w:p>
      <w:pPr>
        <w:pStyle w:val="Heading3"/>
      </w:pPr>
      <w:r>
        <w:t xml:space="preserve">Risk-focused legal review</w:t>
      </w:r>
    </w:p>
    <w:p>
      <w:pPr>
        <w:pStyle w:val="Compact"/>
        <w:numPr>
          <w:ilvl w:val="0"/>
          <w:numId w:val="1003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Law</w:t>
      </w:r>
    </w:p>
    <w:p>
      <w:pPr>
        <w:pStyle w:val="Compact"/>
        <w:numPr>
          <w:ilvl w:val="0"/>
          <w:numId w:val="1003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3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3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3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only if outside context matters</w:t>
      </w:r>
    </w:p>
    <w:bookmarkEnd w:id="12"/>
    <w:bookmarkStart w:id="13" w:name="broad-legal-pass"/>
    <w:p>
      <w:pPr>
        <w:pStyle w:val="Heading3"/>
      </w:pPr>
      <w:r>
        <w:t xml:space="preserve">Broad legal pass</w:t>
      </w:r>
    </w:p>
    <w:p>
      <w:pPr>
        <w:pStyle w:val="Compact"/>
        <w:numPr>
          <w:ilvl w:val="0"/>
          <w:numId w:val="1004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Law</w:t>
      </w:r>
    </w:p>
    <w:p>
      <w:pPr>
        <w:pStyle w:val="Compact"/>
        <w:numPr>
          <w:ilvl w:val="0"/>
          <w:numId w:val="1004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  <w:r>
        <w:t xml:space="preserve">,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4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4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4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when external authority or public-reference checking matters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5" w:name="current-law-pack-note"/>
    <w:p>
      <w:pPr>
        <w:pStyle w:val="Heading2"/>
      </w:pPr>
      <w:r>
        <w:t xml:space="preserve">Current Law Pack Note</w:t>
      </w:r>
    </w:p>
    <w:p>
      <w:pPr>
        <w:pStyle w:val="FirstParagraph"/>
      </w:pPr>
      <w:r>
        <w:t xml:space="preserve">The current law intake library is centered on the patent filing workflow already prepared in this repository.</w:t>
      </w:r>
    </w:p>
    <w:p>
      <w:pPr>
        <w:pStyle w:val="BodyText"/>
      </w:pPr>
      <w:r>
        <w:t xml:space="preserve">That means the most complete current law pack includes:</w:t>
      </w:r>
    </w:p>
    <w:p>
      <w:pPr>
        <w:pStyle w:val="Compact"/>
        <w:numPr>
          <w:ilvl w:val="0"/>
          <w:numId w:val="1005"/>
        </w:numPr>
      </w:pPr>
      <w:r>
        <w:t xml:space="preserve">the patent filing intake template</w:t>
      </w:r>
    </w:p>
    <w:p>
      <w:pPr>
        <w:pStyle w:val="Compact"/>
        <w:numPr>
          <w:ilvl w:val="0"/>
          <w:numId w:val="1005"/>
        </w:numPr>
      </w:pPr>
      <w:r>
        <w:t xml:space="preserve">the patent filing prompt</w:t>
      </w:r>
    </w:p>
    <w:p>
      <w:pPr>
        <w:pStyle w:val="Compact"/>
        <w:numPr>
          <w:ilvl w:val="0"/>
          <w:numId w:val="1005"/>
        </w:numPr>
      </w:pPr>
      <w:r>
        <w:t xml:space="preserve">a patent filing example request</w:t>
      </w:r>
    </w:p>
    <w:p>
      <w:pPr>
        <w:pStyle w:val="FirstParagraph"/>
      </w:pPr>
      <w:r>
        <w:t xml:space="preserve">You can still use the Law domain for broader legal document review, but the patent packet is the strongest prepared intake bundle right now.</w:t>
      </w:r>
    </w:p>
    <w:p>
      <w:r>
        <w:pict>
          <v:rect style="width:0;height:1.5pt" o:hralign="center" o:hrstd="t" o:hr="t"/>
        </w:pict>
      </w:r>
    </w:p>
    <w:bookmarkEnd w:id="15"/>
    <w:bookmarkStart w:id="16" w:name="what-to-prepare"/>
    <w:p>
      <w:pPr>
        <w:pStyle w:val="Heading2"/>
      </w:pPr>
      <w:r>
        <w:t xml:space="preserve">What To Prepare</w:t>
      </w:r>
    </w:p>
    <w:p>
      <w:pPr>
        <w:pStyle w:val="FirstParagraph"/>
      </w:pPr>
      <w:r>
        <w:t xml:space="preserve">Before you run the analysis, collect:</w:t>
      </w:r>
    </w:p>
    <w:p>
      <w:pPr>
        <w:pStyle w:val="Compact"/>
        <w:numPr>
          <w:ilvl w:val="0"/>
          <w:numId w:val="1006"/>
        </w:numPr>
      </w:pPr>
      <w:r>
        <w:t xml:space="preserve">the governing document or filing text</w:t>
      </w:r>
    </w:p>
    <w:p>
      <w:pPr>
        <w:pStyle w:val="Compact"/>
        <w:numPr>
          <w:ilvl w:val="0"/>
          <w:numId w:val="1006"/>
        </w:numPr>
      </w:pPr>
      <w:r>
        <w:t xml:space="preserve">the specific legal question</w:t>
      </w:r>
    </w:p>
    <w:p>
      <w:pPr>
        <w:pStyle w:val="Compact"/>
        <w:numPr>
          <w:ilvl w:val="0"/>
          <w:numId w:val="1006"/>
        </w:numPr>
      </w:pPr>
      <w:r>
        <w:t xml:space="preserve">the known facts</w:t>
      </w:r>
    </w:p>
    <w:p>
      <w:pPr>
        <w:pStyle w:val="Compact"/>
        <w:numPr>
          <w:ilvl w:val="0"/>
          <w:numId w:val="1006"/>
        </w:numPr>
      </w:pPr>
      <w:r>
        <w:t xml:space="preserve">the disputed points</w:t>
      </w:r>
    </w:p>
    <w:p>
      <w:pPr>
        <w:pStyle w:val="Compact"/>
        <w:numPr>
          <w:ilvl w:val="0"/>
          <w:numId w:val="1006"/>
        </w:numPr>
      </w:pPr>
      <w:r>
        <w:t xml:space="preserve">the strongest risk areas</w:t>
      </w:r>
    </w:p>
    <w:p>
      <w:pPr>
        <w:pStyle w:val="Compact"/>
        <w:numPr>
          <w:ilvl w:val="0"/>
          <w:numId w:val="1006"/>
        </w:numPr>
      </w:pPr>
      <w:r>
        <w:t xml:space="preserve">the missing authorities or facts</w:t>
      </w:r>
    </w:p>
    <w:p>
      <w:pPr>
        <w:pStyle w:val="FirstParagraph"/>
      </w:pPr>
      <w:r>
        <w:t xml:space="preserve">For patent-related review, also collect:</w:t>
      </w:r>
    </w:p>
    <w:p>
      <w:pPr>
        <w:pStyle w:val="Compact"/>
        <w:numPr>
          <w:ilvl w:val="0"/>
          <w:numId w:val="1007"/>
        </w:numPr>
      </w:pPr>
      <w:r>
        <w:t xml:space="preserve">claims</w:t>
      </w:r>
    </w:p>
    <w:p>
      <w:pPr>
        <w:pStyle w:val="Compact"/>
        <w:numPr>
          <w:ilvl w:val="0"/>
          <w:numId w:val="1007"/>
        </w:numPr>
      </w:pPr>
      <w:r>
        <w:t xml:space="preserve">support map</w:t>
      </w:r>
    </w:p>
    <w:p>
      <w:pPr>
        <w:pStyle w:val="Compact"/>
        <w:numPr>
          <w:ilvl w:val="0"/>
          <w:numId w:val="1007"/>
        </w:numPr>
      </w:pPr>
      <w:r>
        <w:t xml:space="preserve">prior art notes</w:t>
      </w:r>
    </w:p>
    <w:p>
      <w:pPr>
        <w:pStyle w:val="Compact"/>
        <w:numPr>
          <w:ilvl w:val="0"/>
          <w:numId w:val="1007"/>
        </w:numPr>
      </w:pPr>
      <w:r>
        <w:t xml:space="preserve">prosecution material if relevant</w:t>
      </w:r>
    </w:p>
    <w:p>
      <w:r>
        <w:pict>
          <v:rect style="width:0;height:1.5pt" o:hralign="center" o:hrstd="t" o:hr="t"/>
        </w:pict>
      </w:r>
    </w:p>
    <w:bookmarkEnd w:id="16"/>
    <w:bookmarkStart w:id="17" w:name="common-mistakes"/>
    <w:p>
      <w:pPr>
        <w:pStyle w:val="Heading2"/>
      </w:pPr>
      <w:r>
        <w:t xml:space="preserve">Common Mistakes</w:t>
      </w:r>
    </w:p>
    <w:p>
      <w:pPr>
        <w:pStyle w:val="Compact"/>
        <w:numPr>
          <w:ilvl w:val="0"/>
          <w:numId w:val="1008"/>
        </w:numPr>
      </w:pPr>
      <w:r>
        <w:t xml:space="preserve">uploading only instructions and not the legal text</w:t>
      </w:r>
    </w:p>
    <w:p>
      <w:pPr>
        <w:pStyle w:val="Compact"/>
        <w:numPr>
          <w:ilvl w:val="0"/>
          <w:numId w:val="1008"/>
        </w:numPr>
      </w:pPr>
      <w:r>
        <w:t xml:space="preserve">asking for certainty where the record is incomplete</w:t>
      </w:r>
    </w:p>
    <w:p>
      <w:pPr>
        <w:pStyle w:val="Compact"/>
        <w:numPr>
          <w:ilvl w:val="0"/>
          <w:numId w:val="1008"/>
        </w:numPr>
      </w:pPr>
      <w:r>
        <w:t xml:space="preserve">using</w:t>
      </w:r>
      <w:r>
        <w:t xml:space="preserve"> </w:t>
      </w:r>
      <w:r>
        <w:rPr>
          <w:rStyle w:val="VerbatimChar"/>
        </w:rPr>
        <w:t xml:space="preserve">fast</w:t>
      </w:r>
      <w:r>
        <w:t xml:space="preserve"> </w:t>
      </w:r>
      <w:r>
        <w:t xml:space="preserve">when a full structured review is needed</w:t>
      </w:r>
    </w:p>
    <w:p>
      <w:pPr>
        <w:pStyle w:val="Compact"/>
        <w:numPr>
          <w:ilvl w:val="0"/>
          <w:numId w:val="1008"/>
        </w:numPr>
      </w:pPr>
      <w:r>
        <w:t xml:space="preserve">failing to separate document text from interpretation</w:t>
      </w:r>
    </w:p>
    <w:p>
      <w:pPr>
        <w:pStyle w:val="Compact"/>
        <w:numPr>
          <w:ilvl w:val="0"/>
          <w:numId w:val="1008"/>
        </w:numPr>
      </w:pPr>
      <w:r>
        <w:t xml:space="preserve">not listing the missing facts that could change the answer</w:t>
      </w:r>
    </w:p>
    <w:p>
      <w:r>
        <w:pict>
          <v:rect style="width:0;height:1.5pt" o:hralign="center" o:hrstd="t" o:hr="t"/>
        </w:pict>
      </w:r>
    </w:p>
    <w:bookmarkEnd w:id="17"/>
    <w:bookmarkStart w:id="18" w:name="recommended-run-order"/>
    <w:p>
      <w:pPr>
        <w:pStyle w:val="Heading2"/>
      </w:pPr>
      <w:r>
        <w:t xml:space="preserve">Recommended Run Order</w:t>
      </w:r>
    </w:p>
    <w:p>
      <w:pPr>
        <w:pStyle w:val="Compact"/>
        <w:numPr>
          <w:ilvl w:val="0"/>
          <w:numId w:val="1009"/>
        </w:numPr>
      </w:pPr>
      <w:r>
        <w:t xml:space="preserve">Start with</w:t>
      </w:r>
      <w:r>
        <w:t xml:space="preserve"> </w:t>
      </w:r>
      <w:r>
        <w:rPr>
          <w:rStyle w:val="VerbatimChar"/>
        </w:rPr>
        <w:t xml:space="preserve">review + risk</w:t>
      </w:r>
      <w:r>
        <w:t xml:space="preserve"> </w:t>
      </w:r>
      <w:r>
        <w:t xml:space="preserve">and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9"/>
        </w:numPr>
      </w:pPr>
      <w:r>
        <w:t xml:space="preserve">Improve the source pack if the result feels too generic</w:t>
      </w:r>
    </w:p>
    <w:p>
      <w:pPr>
        <w:pStyle w:val="Compact"/>
        <w:numPr>
          <w:ilvl w:val="0"/>
          <w:numId w:val="1009"/>
        </w:numPr>
      </w:pPr>
      <w:r>
        <w:t xml:space="preserve">Use live sources only when external context genuinely matters</w:t>
      </w:r>
    </w:p>
    <w:p>
      <w:pPr>
        <w:pStyle w:val="Compact"/>
        <w:numPr>
          <w:ilvl w:val="0"/>
          <w:numId w:val="1009"/>
        </w:numPr>
      </w:pPr>
      <w:r>
        <w:t xml:space="preserve">Only then try</w:t>
      </w:r>
      <w:r>
        <w:t xml:space="preserve"> </w:t>
      </w:r>
      <w:r>
        <w:rPr>
          <w:rStyle w:val="VerbatimChar"/>
        </w:rPr>
        <w:t xml:space="preserve">Deep</w:t>
      </w:r>
    </w:p>
    <w:p>
      <w:r>
        <w:pict>
          <v:rect style="width:0;height:1.5pt" o:hralign="center" o:hrstd="t" o:hr="t"/>
        </w:pict>
      </w:r>
    </w:p>
    <w:bookmarkEnd w:id="18"/>
    <w:bookmarkStart w:id="19" w:name="related-files"/>
    <w:p>
      <w:pPr>
        <w:pStyle w:val="Heading2"/>
      </w:pPr>
      <w:r>
        <w:t xml:space="preserve">Related Files</w:t>
      </w:r>
    </w:p>
    <w:p>
      <w:pPr>
        <w:pStyle w:val="Compact"/>
        <w:numPr>
          <w:ilvl w:val="0"/>
          <w:numId w:val="1010"/>
        </w:numPr>
      </w:pPr>
      <w:r>
        <w:rPr>
          <w:rStyle w:val="VerbatimChar"/>
        </w:rPr>
        <w:t xml:space="preserve">PATENT_FILING_ANALYSIS_INTAKE_TEMPLATE_2026-04-12.md</w:t>
      </w:r>
    </w:p>
    <w:p>
      <w:pPr>
        <w:pStyle w:val="Compact"/>
        <w:numPr>
          <w:ilvl w:val="0"/>
          <w:numId w:val="1010"/>
        </w:numPr>
      </w:pPr>
      <w:r>
        <w:rPr>
          <w:rStyle w:val="VerbatimChar"/>
        </w:rPr>
        <w:t xml:space="preserve">PATENT_FILING_ANALYSIS_PROMPT_2026-04-12.txt</w:t>
      </w:r>
    </w:p>
    <w:p>
      <w:pPr>
        <w:pStyle w:val="Compact"/>
        <w:numPr>
          <w:ilvl w:val="0"/>
          <w:numId w:val="1010"/>
        </w:numPr>
      </w:pPr>
      <w:r>
        <w:rPr>
          <w:rStyle w:val="VerbatimChar"/>
        </w:rPr>
        <w:t xml:space="preserve">LAW_ANALYSIS_EXAMPLE_PATENT_FILING_2026-04-12.txt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End of Law Analysis Guide v1.0</w:t>
      </w:r>
    </w:p>
    <w:bookmarkEnd w:id="19"/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2026-04-12T11:50:07Z</dcterms:created>
  <dcterms:modified xsi:type="dcterms:W3CDTF">2026-04-12T11:50:07Z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